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FFC2651" w14:textId="77777777">
      <w:pPr>
        <w:pStyle w:val="Title"/>
        <w:rPr>
          <w:caps w:val="0"/>
          <w:kern w:val="0"/>
        </w:rPr>
      </w:pPr>
      <w:r w:rsidRPr="002F6A28">
        <w:rPr>
          <w:caps w:val="0"/>
          <w:kern w:val="0"/>
        </w:rPr>
        <w:t>NOTIFICATION</w:t>
      </w:r>
    </w:p>
    <w:p w:rsidR="009239F7" w:rsidRPr="002F6A28" w:rsidP="002F6A28" w14:paraId="5756A4C0" w14:textId="77777777">
      <w:pPr>
        <w:jc w:val="center"/>
      </w:pPr>
      <w:r w:rsidRPr="002F6A28">
        <w:t>The following notification is being circulated in accordance with Article 10.6</w:t>
      </w:r>
    </w:p>
    <w:p w:rsidR="009239F7" w:rsidRPr="002F6A28" w:rsidP="002F6A28" w14:paraId="31FB43D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4E1BD20" w14:textId="77777777" w:rsidTr="00DB13FE">
        <w:tblPrEx>
          <w:tblW w:w="5000" w:type="pct"/>
          <w:tblLayout w:type="fixed"/>
          <w:tblLook w:val="0000"/>
        </w:tblPrEx>
        <w:tc>
          <w:tcPr>
            <w:tcW w:w="607" w:type="dxa"/>
            <w:tcBorders>
              <w:top w:val="double" w:sz="4" w:space="0" w:color="auto"/>
            </w:tcBorders>
          </w:tcPr>
          <w:p w:rsidR="00F85C99" w:rsidRPr="002F6A28" w:rsidP="002F6A28" w14:paraId="0F66BD7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37F4BB4"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7588318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9B89017" w14:textId="77777777" w:rsidTr="00DB13FE">
        <w:tblPrEx>
          <w:tblW w:w="5000" w:type="pct"/>
          <w:tblLayout w:type="fixed"/>
          <w:tblLook w:val="0000"/>
        </w:tblPrEx>
        <w:tc>
          <w:tcPr>
            <w:tcW w:w="607" w:type="dxa"/>
          </w:tcPr>
          <w:p w:rsidR="00F85C99" w:rsidRPr="002F6A28" w:rsidP="002F6A28" w14:paraId="63213270" w14:textId="77777777">
            <w:pPr>
              <w:spacing w:before="120" w:after="120"/>
              <w:jc w:val="left"/>
            </w:pPr>
            <w:r w:rsidRPr="002F6A28">
              <w:rPr>
                <w:b/>
              </w:rPr>
              <w:t>2.</w:t>
            </w:r>
          </w:p>
        </w:tc>
        <w:tc>
          <w:tcPr>
            <w:tcW w:w="8373" w:type="dxa"/>
          </w:tcPr>
          <w:p w:rsidR="00F85C99" w:rsidRPr="002F6A28" w:rsidP="000C3B6C" w14:paraId="0B98ED46" w14:textId="77777777">
            <w:pPr>
              <w:spacing w:before="120" w:after="120"/>
            </w:pPr>
            <w:r w:rsidRPr="002F6A28">
              <w:rPr>
                <w:b/>
              </w:rPr>
              <w:t>Agency responsible:</w:t>
            </w:r>
            <w:r w:rsidRPr="00C379C8" w:rsidR="00EE3A11">
              <w:t xml:space="preserve"> </w:t>
            </w:r>
          </w:p>
          <w:p w:rsidR="00EE3A11" w:rsidRPr="00C379C8" w:rsidP="000C3B6C" w14:paraId="04D35034" w14:textId="77777777">
            <w:pPr>
              <w:spacing w:after="120"/>
            </w:pPr>
            <w:r w:rsidRPr="00C379C8">
              <w:t>Health Canada</w:t>
            </w:r>
          </w:p>
        </w:tc>
      </w:tr>
      <w:tr w14:paraId="3156A81A" w14:textId="77777777" w:rsidTr="00DB13FE">
        <w:tblPrEx>
          <w:tblW w:w="5000" w:type="pct"/>
          <w:tblLayout w:type="fixed"/>
          <w:tblLook w:val="0000"/>
        </w:tblPrEx>
        <w:tc>
          <w:tcPr>
            <w:tcW w:w="607" w:type="dxa"/>
          </w:tcPr>
          <w:p w:rsidR="00F85C99" w:rsidRPr="002F6A28" w:rsidP="002F6A28" w14:paraId="787C9AD8" w14:textId="77777777">
            <w:pPr>
              <w:spacing w:before="120" w:after="120"/>
              <w:jc w:val="left"/>
              <w:rPr>
                <w:b/>
              </w:rPr>
            </w:pPr>
            <w:r w:rsidRPr="002F6A28">
              <w:rPr>
                <w:b/>
              </w:rPr>
              <w:t>3.</w:t>
            </w:r>
          </w:p>
        </w:tc>
        <w:tc>
          <w:tcPr>
            <w:tcW w:w="8373" w:type="dxa"/>
          </w:tcPr>
          <w:p w:rsidR="00F85C99" w:rsidRPr="0058336F" w:rsidP="002F6A28" w14:paraId="5F4D3E2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03892FB" w14:textId="77777777" w:rsidTr="00DB13FE">
        <w:tblPrEx>
          <w:tblW w:w="5000" w:type="pct"/>
          <w:tblLayout w:type="fixed"/>
          <w:tblLook w:val="0000"/>
        </w:tblPrEx>
        <w:tc>
          <w:tcPr>
            <w:tcW w:w="607" w:type="dxa"/>
          </w:tcPr>
          <w:p w:rsidR="00F85C99" w:rsidRPr="002F6A28" w:rsidP="002F6A28" w14:paraId="647BB4ED" w14:textId="77777777">
            <w:pPr>
              <w:spacing w:before="120" w:after="120"/>
              <w:jc w:val="left"/>
            </w:pPr>
            <w:r w:rsidRPr="002F6A28">
              <w:rPr>
                <w:b/>
              </w:rPr>
              <w:t>4.</w:t>
            </w:r>
          </w:p>
        </w:tc>
        <w:tc>
          <w:tcPr>
            <w:tcW w:w="8373" w:type="dxa"/>
          </w:tcPr>
          <w:p w:rsidR="00F85C99" w:rsidRPr="002F6A28" w:rsidP="002F6A28" w14:paraId="78D8CCE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Pharmaceutics (ICS 11.120) and Medical equipment (ICS 11.040)</w:t>
            </w:r>
          </w:p>
        </w:tc>
      </w:tr>
      <w:tr w14:paraId="4A168F3C" w14:textId="77777777" w:rsidTr="00DB13FE">
        <w:tblPrEx>
          <w:tblW w:w="5000" w:type="pct"/>
          <w:tblLayout w:type="fixed"/>
          <w:tblLook w:val="0000"/>
        </w:tblPrEx>
        <w:tc>
          <w:tcPr>
            <w:tcW w:w="607" w:type="dxa"/>
          </w:tcPr>
          <w:p w:rsidR="00F85C99" w:rsidRPr="002F6A28" w:rsidP="002F6A28" w14:paraId="056B665A" w14:textId="77777777">
            <w:pPr>
              <w:spacing w:before="120" w:after="120"/>
              <w:jc w:val="left"/>
            </w:pPr>
            <w:r w:rsidRPr="002F6A28">
              <w:rPr>
                <w:b/>
              </w:rPr>
              <w:t>5.</w:t>
            </w:r>
          </w:p>
        </w:tc>
        <w:tc>
          <w:tcPr>
            <w:tcW w:w="8373" w:type="dxa"/>
          </w:tcPr>
          <w:p w:rsidR="00F85C99" w:rsidP="002F6A28" w14:paraId="044242E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Notice of intent to make a Ministerial Exemption Order to permit continued supply of naloxone kits on the Canadian market; (3 page(s), in English), (3 page(s), in French)</w:t>
            </w:r>
          </w:p>
          <w:p w:rsidR="000C3B6C" w:rsidRPr="000C3B6C" w:rsidP="002F6A28" w14:paraId="7D0D078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F477E" w:rsidRPr="00CE6C29" w:rsidP="002F6A28" w14:paraId="77E5E888" w14:textId="77777777">
            <w:pPr>
              <w:spacing w:after="120"/>
              <w:rPr>
                <w:iCs/>
              </w:rPr>
            </w:pPr>
            <w:hyperlink r:id="rId6" w:tgtFrame="_blank" w:history="1">
              <w:r w:rsidRPr="00CE6C29">
                <w:rPr>
                  <w:iCs/>
                  <w:color w:val="0000FF"/>
                  <w:u w:val="single"/>
                </w:rPr>
                <w:t>https://gazette.gc.ca/rp-pr/p1/2025/2025-03-01/html/notice-avis-eng.html</w:t>
              </w:r>
            </w:hyperlink>
          </w:p>
        </w:tc>
      </w:tr>
      <w:tr w14:paraId="7E0C8E29" w14:textId="77777777" w:rsidTr="00DB13FE">
        <w:tblPrEx>
          <w:tblW w:w="5000" w:type="pct"/>
          <w:tblLayout w:type="fixed"/>
          <w:tblLook w:val="0000"/>
        </w:tblPrEx>
        <w:tc>
          <w:tcPr>
            <w:tcW w:w="607" w:type="dxa"/>
          </w:tcPr>
          <w:p w:rsidR="00F85C99" w:rsidRPr="002F6A28" w:rsidP="002F6A28" w14:paraId="5E81C4F1" w14:textId="77777777">
            <w:pPr>
              <w:spacing w:before="120" w:after="120"/>
              <w:jc w:val="left"/>
              <w:rPr>
                <w:b/>
              </w:rPr>
            </w:pPr>
            <w:r w:rsidRPr="002F6A28">
              <w:rPr>
                <w:b/>
              </w:rPr>
              <w:t>6.</w:t>
            </w:r>
          </w:p>
        </w:tc>
        <w:tc>
          <w:tcPr>
            <w:tcW w:w="8373" w:type="dxa"/>
          </w:tcPr>
          <w:p w:rsidR="00F85C99" w:rsidRPr="002F6A28" w:rsidP="002F6A28" w14:paraId="336D2AB7" w14:textId="77777777">
            <w:pPr>
              <w:spacing w:before="120" w:after="120"/>
              <w:rPr>
                <w:b/>
              </w:rPr>
            </w:pPr>
            <w:r w:rsidRPr="002F6A28">
              <w:rPr>
                <w:b/>
              </w:rPr>
              <w:t>Description of content:</w:t>
            </w:r>
            <w:r w:rsidRPr="00C379C8" w:rsidR="00FE448B">
              <w:t xml:space="preserve"> Notice was given by the Department of Health (Health Canada) on March 1, 2025, in the </w:t>
            </w:r>
            <w:r w:rsidRPr="00C379C8" w:rsidR="00FE448B">
              <w:rPr>
                <w:i/>
                <w:iCs/>
              </w:rPr>
              <w:t>Canada Gazette, Part I, Volume 159, Number 9</w:t>
            </w:r>
            <w:r w:rsidRPr="00C379C8" w:rsidR="00FE448B">
              <w:t xml:space="preserve">, of its intent to make a Ministerial Exemption Order (the Order) to permit the continued supply of naloxone kits on the Canadian market. The Notice described proposed exemptions from certain packaging, labelling and licensing requirements under the </w:t>
            </w:r>
            <w:r w:rsidRPr="00C379C8" w:rsidR="00FE448B">
              <w:rPr>
                <w:i/>
                <w:iCs/>
              </w:rPr>
              <w:t xml:space="preserve">Food and Drug Regulations </w:t>
            </w:r>
            <w:r w:rsidRPr="00C379C8" w:rsidR="00FE448B">
              <w:t xml:space="preserve">(FDR), the </w:t>
            </w:r>
            <w:r w:rsidRPr="00C379C8" w:rsidR="00FE448B">
              <w:rPr>
                <w:i/>
                <w:iCs/>
              </w:rPr>
              <w:t xml:space="preserve">Medical Devices Regulations </w:t>
            </w:r>
            <w:r w:rsidRPr="00C379C8" w:rsidR="00FE448B">
              <w:t xml:space="preserve">(MDR) and the </w:t>
            </w:r>
            <w:r w:rsidRPr="00C379C8" w:rsidR="00FE448B">
              <w:rPr>
                <w:i/>
                <w:iCs/>
              </w:rPr>
              <w:t xml:space="preserve">Natural Health Products Regulations </w:t>
            </w:r>
            <w:r w:rsidRPr="00C379C8" w:rsidR="00FE448B">
              <w:t>(NHPR). These exemptions would apply only if conditions are met to help ensure the safety, quality, efficacy and traceability of naloxone kits.</w:t>
            </w:r>
          </w:p>
        </w:tc>
      </w:tr>
      <w:tr w14:paraId="7BAA3692" w14:textId="77777777" w:rsidTr="00DB13FE">
        <w:tblPrEx>
          <w:tblW w:w="5000" w:type="pct"/>
          <w:tblLayout w:type="fixed"/>
          <w:tblLook w:val="0000"/>
        </w:tblPrEx>
        <w:tc>
          <w:tcPr>
            <w:tcW w:w="607" w:type="dxa"/>
          </w:tcPr>
          <w:p w:rsidR="00F85C99" w:rsidRPr="002F6A28" w:rsidP="002F6A28" w14:paraId="42B6B960" w14:textId="77777777">
            <w:pPr>
              <w:spacing w:before="120" w:after="120"/>
              <w:jc w:val="left"/>
              <w:rPr>
                <w:b/>
              </w:rPr>
            </w:pPr>
            <w:r w:rsidRPr="002F6A28">
              <w:rPr>
                <w:b/>
              </w:rPr>
              <w:t>7.</w:t>
            </w:r>
          </w:p>
        </w:tc>
        <w:tc>
          <w:tcPr>
            <w:tcW w:w="8373" w:type="dxa"/>
          </w:tcPr>
          <w:p w:rsidR="00F85C99" w:rsidRPr="002F6A28" w:rsidP="002F6A28" w14:paraId="76F262BA" w14:textId="77777777">
            <w:pPr>
              <w:spacing w:before="120" w:after="120"/>
              <w:rPr>
                <w:b/>
              </w:rPr>
            </w:pPr>
            <w:r w:rsidRPr="002F6A28">
              <w:rPr>
                <w:b/>
              </w:rPr>
              <w:t>Objective and rationale, including the nature of urgent problems where applicable:</w:t>
            </w:r>
            <w:r w:rsidRPr="00C379C8" w:rsidR="00EE3A11">
              <w:t xml:space="preserve"> The objective of the proposed Order is to help ensure the continued supply of naloxone kits in Canada, in support of the response to the ongoing opioid overdose crisis. Naloxone kits are assembled from several different health products (naloxone, medical devices and antiseptic wipes), and each of these products is normally subject to its own regulatory requirements. The Order would include exemptions from the application of certain provisions in the FDR, MDR and NHPR, as some stakeholders may not be able to meet all current regulatory requirements. The exemptions would only apply if certain conditions are met. This approach would replace the </w:t>
            </w:r>
            <w:r w:rsidRPr="00C379C8" w:rsidR="00EE3A11">
              <w:rPr>
                <w:i/>
                <w:iCs/>
              </w:rPr>
              <w:t>Interim policy on the packaging, labelling and sale of naloxone kits</w:t>
            </w:r>
            <w:r w:rsidRPr="00C379C8" w:rsidR="00EE3A11">
              <w:t xml:space="preserve"> with a predictable and transparent regulatory instrument to avoid disrupting the supply of naloxone kits in Canada.</w:t>
            </w:r>
          </w:p>
          <w:p w:rsidR="00EE3A11" w:rsidRPr="00C379C8" w:rsidP="002F6A28" w14:paraId="4BC26504" w14:textId="77777777">
            <w:pPr>
              <w:spacing w:before="120" w:after="120"/>
            </w:pPr>
            <w:r w:rsidRPr="00034556">
              <w:rPr>
                <w:i/>
                <w:iCs/>
              </w:rPr>
              <w:t>Link to Interim Policy:</w:t>
            </w:r>
            <w:r w:rsidRPr="00C379C8">
              <w:t xml:space="preserve"> </w:t>
            </w:r>
            <w:hyperlink r:id="rId7" w:history="1">
              <w:r w:rsidRPr="00C379C8">
                <w:rPr>
                  <w:color w:val="0000FF"/>
                  <w:u w:val="single"/>
                </w:rPr>
                <w:t>https://www.canada.ca/en/health-canada/services/drugs-health-products/compliance-enforcement/activities/interim-policy-packaging-labelling-sale-naloxone-kits.html</w:t>
              </w:r>
            </w:hyperlink>
          </w:p>
        </w:tc>
      </w:tr>
      <w:tr w14:paraId="6F9036BE" w14:textId="77777777" w:rsidTr="00DB13FE">
        <w:tblPrEx>
          <w:tblW w:w="5000" w:type="pct"/>
          <w:tblLayout w:type="fixed"/>
          <w:tblLook w:val="0000"/>
        </w:tblPrEx>
        <w:tc>
          <w:tcPr>
            <w:tcW w:w="607" w:type="dxa"/>
          </w:tcPr>
          <w:p w:rsidR="00F85C99" w:rsidRPr="002F6A28" w:rsidP="009E75ED" w14:paraId="4BFC835D" w14:textId="77777777">
            <w:pPr>
              <w:spacing w:before="120" w:after="120"/>
              <w:jc w:val="left"/>
              <w:rPr>
                <w:b/>
              </w:rPr>
            </w:pPr>
            <w:r w:rsidRPr="002F6A28">
              <w:rPr>
                <w:b/>
              </w:rPr>
              <w:t>8.</w:t>
            </w:r>
          </w:p>
        </w:tc>
        <w:tc>
          <w:tcPr>
            <w:tcW w:w="8373" w:type="dxa"/>
          </w:tcPr>
          <w:p w:rsidR="000C3B6C" w:rsidRPr="00EC00D2" w:rsidP="007F13E8" w14:paraId="3148583C" w14:textId="77777777">
            <w:pPr>
              <w:spacing w:before="120" w:after="120"/>
              <w:rPr>
                <w:bCs/>
              </w:rPr>
            </w:pPr>
            <w:r w:rsidRPr="002F6A28">
              <w:rPr>
                <w:b/>
              </w:rPr>
              <w:t>Relevant documents:</w:t>
            </w:r>
            <w:r w:rsidRPr="002F6A28" w:rsidR="00EE3A11">
              <w:t xml:space="preserve"> </w:t>
            </w:r>
          </w:p>
          <w:p w:rsidR="00EE3A11" w:rsidRPr="002F6A28" w:rsidP="007F13E8" w14:paraId="3F6DBA48" w14:textId="77777777">
            <w:pPr>
              <w:spacing w:before="120" w:after="120"/>
            </w:pPr>
            <w:r w:rsidRPr="002F6A28">
              <w:t>Not applicable</w:t>
            </w:r>
          </w:p>
        </w:tc>
      </w:tr>
      <w:tr w14:paraId="53DB92E2" w14:textId="77777777" w:rsidTr="00DB13FE">
        <w:tblPrEx>
          <w:tblW w:w="5000" w:type="pct"/>
          <w:tblLayout w:type="fixed"/>
          <w:tblLook w:val="0000"/>
        </w:tblPrEx>
        <w:tc>
          <w:tcPr>
            <w:tcW w:w="607" w:type="dxa"/>
          </w:tcPr>
          <w:p w:rsidR="00EE3A11" w:rsidRPr="002F6A28" w:rsidP="002F6A28" w14:paraId="0A910805" w14:textId="77777777">
            <w:pPr>
              <w:spacing w:before="120" w:after="120"/>
              <w:jc w:val="left"/>
              <w:rPr>
                <w:b/>
              </w:rPr>
            </w:pPr>
            <w:r w:rsidRPr="002F6A28">
              <w:rPr>
                <w:b/>
              </w:rPr>
              <w:t>9.</w:t>
            </w:r>
          </w:p>
        </w:tc>
        <w:tc>
          <w:tcPr>
            <w:tcW w:w="8373" w:type="dxa"/>
          </w:tcPr>
          <w:p w:rsidR="00EE3A11" w:rsidRPr="002F6A28" w:rsidP="008953C4" w14:paraId="78ED57FE" w14:textId="77777777">
            <w:pPr>
              <w:spacing w:before="120" w:after="120"/>
            </w:pPr>
            <w:r w:rsidRPr="002F6A28">
              <w:rPr>
                <w:b/>
              </w:rPr>
              <w:t>Proposed date of adoption:</w:t>
            </w:r>
            <w:r w:rsidRPr="00C379C8">
              <w:t xml:space="preserve"> Anticipated for July 2026, upon publication in the Canada Gazette, Part II. </w:t>
            </w:r>
          </w:p>
          <w:p w:rsidR="007F477E" w:rsidRPr="00C379C8" w:rsidP="008953C4" w14:paraId="4455A39C" w14:textId="77777777">
            <w:pPr>
              <w:spacing w:before="120" w:after="120"/>
            </w:pPr>
            <w:r w:rsidRPr="00C379C8">
              <w:t>The proposed Order will not go through pre-publication in the Canada Gazette, Part I; therefore, this notification provides the only opportunity to comment before finalization.</w:t>
            </w:r>
          </w:p>
          <w:p w:rsidR="00EE3A11" w:rsidRPr="002F6A28" w:rsidP="008953C4" w14:paraId="247266B9" w14:textId="77777777">
            <w:pPr>
              <w:spacing w:after="120"/>
            </w:pPr>
            <w:r w:rsidRPr="002F6A28">
              <w:rPr>
                <w:b/>
              </w:rPr>
              <w:t>Proposed date of entry into force:</w:t>
            </w:r>
            <w:r w:rsidRPr="00C379C8">
              <w:t xml:space="preserve"> The proposed Order would come into force 12 months after its publication in the Canada Gazette, Part II.</w:t>
            </w:r>
          </w:p>
        </w:tc>
      </w:tr>
      <w:tr w14:paraId="39A3D8CC" w14:textId="77777777" w:rsidTr="00DB13FE">
        <w:tblPrEx>
          <w:tblW w:w="5000" w:type="pct"/>
          <w:tblLayout w:type="fixed"/>
          <w:tblLook w:val="0000"/>
        </w:tblPrEx>
        <w:tc>
          <w:tcPr>
            <w:tcW w:w="607" w:type="dxa"/>
            <w:tcBorders>
              <w:bottom w:val="double" w:sz="4" w:space="0" w:color="auto"/>
            </w:tcBorders>
          </w:tcPr>
          <w:p w:rsidR="00F85C99" w:rsidRPr="002F6A28" w:rsidP="002F6A28" w14:paraId="299ED37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D23ADF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CD58A82" w14:textId="77777777">
            <w:pPr>
              <w:spacing w:before="120" w:after="120"/>
              <w:rPr>
                <w:bCs/>
              </w:rPr>
            </w:pPr>
            <w:r w:rsidRPr="002F6A28">
              <w:rPr>
                <w:b/>
              </w:rPr>
              <w:t>Final date for comments:</w:t>
            </w:r>
            <w:r w:rsidRPr="00C379C8" w:rsidR="00EE3A11">
              <w:t xml:space="preserve"> 7 June 2026</w:t>
            </w:r>
          </w:p>
          <w:p w:rsidR="000C3B6C" w:rsidRPr="00E3324D" w:rsidP="000C3B6C" w14:paraId="572F9CC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89D77F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C0F64F8" w14:textId="77777777">
            <w:r w:rsidRPr="00CE6C29">
              <w:t>Canada's Notification Authority and Enquiry Point</w:t>
            </w:r>
          </w:p>
          <w:p w:rsidR="00CE6C29" w:rsidRPr="00CE6C29" w:rsidP="000C3B6C" w14:paraId="65A140B4" w14:textId="77777777">
            <w:r w:rsidRPr="00CE6C29">
              <w:t>Technical Barriers and Regulations Division</w:t>
            </w:r>
          </w:p>
          <w:p w:rsidR="00CE6C29" w:rsidRPr="00CE6C29" w:rsidP="000C3B6C" w14:paraId="763C2596" w14:textId="77777777">
            <w:r w:rsidRPr="00CE6C29">
              <w:t>Global Affairs Canada</w:t>
            </w:r>
          </w:p>
          <w:p w:rsidR="00CE6C29" w:rsidRPr="00CE6C29" w:rsidP="000C3B6C" w14:paraId="7C7AD06B" w14:textId="77777777">
            <w:r w:rsidRPr="00CE6C29">
              <w:t>111 Sussex Drive</w:t>
            </w:r>
          </w:p>
          <w:p w:rsidR="00CE6C29" w:rsidRPr="00CE6C29" w:rsidP="000C3B6C" w14:paraId="0E9A8C7D" w14:textId="77777777">
            <w:r w:rsidRPr="00CE6C29">
              <w:t>Ottawa, Ontario, K1A 0G2</w:t>
            </w:r>
          </w:p>
          <w:p w:rsidR="00CE6C29" w:rsidRPr="004C7960" w:rsidP="000C3B6C" w14:paraId="5A0C5560" w14:textId="77777777">
            <w:pPr>
              <w:rPr>
                <w:lang w:val="es-ES_tradnl"/>
              </w:rPr>
            </w:pPr>
            <w:r w:rsidRPr="004C7960">
              <w:rPr>
                <w:lang w:val="es-ES_tradnl"/>
              </w:rPr>
              <w:t>Canada</w:t>
            </w:r>
          </w:p>
          <w:p w:rsidR="00CE6C29" w:rsidRPr="004C7960" w:rsidP="000C3B6C" w14:paraId="26342608" w14:textId="77777777">
            <w:pPr>
              <w:spacing w:after="120"/>
              <w:rPr>
                <w:lang w:val="es-ES_tradnl"/>
              </w:rPr>
            </w:pPr>
            <w:r w:rsidRPr="004C7960">
              <w:rPr>
                <w:lang w:val="es-ES_tradnl"/>
              </w:rPr>
              <w:t xml:space="preserve">Email: </w:t>
            </w:r>
            <w:hyperlink r:id="rId8" w:history="1">
              <w:r w:rsidRPr="004C7960">
                <w:rPr>
                  <w:color w:val="0000FF"/>
                  <w:u w:val="single"/>
                  <w:lang w:val="es-ES_tradnl"/>
                </w:rPr>
                <w:t>enquirypoint@international.gc.ca</w:t>
              </w:r>
            </w:hyperlink>
          </w:p>
        </w:tc>
      </w:tr>
    </w:tbl>
    <w:p w:rsidR="00EE3A11" w:rsidRPr="004C7960" w:rsidP="00887259" w14:paraId="5DC0E66B" w14:textId="77777777">
      <w:pPr>
        <w:jc w:val="center"/>
        <w:rPr>
          <w:lang w:val="es-ES_tradnl"/>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60D3E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FD8F4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FA3D3B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D9AA39" w14:textId="77777777">
    <w:pPr>
      <w:pStyle w:val="Header"/>
      <w:pBdr>
        <w:bottom w:val="single" w:sz="4" w:space="1" w:color="auto"/>
      </w:pBdr>
      <w:tabs>
        <w:tab w:val="clear" w:pos="4513"/>
        <w:tab w:val="clear" w:pos="9027"/>
      </w:tabs>
      <w:jc w:val="center"/>
    </w:pPr>
    <w:r w:rsidRPr="002F6A28">
      <w:t>tbtSymbol</w:t>
    </w:r>
  </w:p>
  <w:p w:rsidR="009239F7" w:rsidRPr="002F6A28" w:rsidP="009239F7" w14:paraId="086405E2" w14:textId="77777777">
    <w:pPr>
      <w:pStyle w:val="Header"/>
      <w:pBdr>
        <w:bottom w:val="single" w:sz="4" w:space="1" w:color="auto"/>
      </w:pBdr>
      <w:tabs>
        <w:tab w:val="clear" w:pos="4513"/>
        <w:tab w:val="clear" w:pos="9027"/>
      </w:tabs>
      <w:jc w:val="center"/>
    </w:pPr>
  </w:p>
  <w:p w:rsidR="009239F7" w:rsidRPr="002F6A28" w:rsidP="009239F7" w14:paraId="004252E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B73D47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2B5C7E" w14:textId="77777777">
    <w:pPr>
      <w:pStyle w:val="Header"/>
      <w:pBdr>
        <w:bottom w:val="single" w:sz="4" w:space="1" w:color="auto"/>
      </w:pBdr>
      <w:tabs>
        <w:tab w:val="clear" w:pos="4513"/>
        <w:tab w:val="clear" w:pos="9027"/>
      </w:tabs>
      <w:jc w:val="center"/>
    </w:pPr>
    <w:bookmarkStart w:id="0" w:name="spsSymbolHeader"/>
    <w:r w:rsidRPr="002F6A28">
      <w:t>G/TBT/N/CAN/775</w:t>
    </w:r>
    <w:bookmarkEnd w:id="0"/>
  </w:p>
  <w:p w:rsidR="009239F7" w:rsidRPr="002F6A28" w:rsidP="009239F7" w14:paraId="21880CA4" w14:textId="77777777">
    <w:pPr>
      <w:pStyle w:val="Header"/>
      <w:pBdr>
        <w:bottom w:val="single" w:sz="4" w:space="1" w:color="auto"/>
      </w:pBdr>
      <w:tabs>
        <w:tab w:val="clear" w:pos="4513"/>
        <w:tab w:val="clear" w:pos="9027"/>
      </w:tabs>
      <w:jc w:val="center"/>
    </w:pPr>
  </w:p>
  <w:p w:rsidR="009239F7" w:rsidRPr="002F6A28" w:rsidP="009239F7" w14:paraId="7B59B24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B18A78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C8EB5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2B6ABB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4E7698B" w14:textId="77777777">
          <w:pPr>
            <w:jc w:val="right"/>
            <w:rPr>
              <w:b/>
              <w:color w:val="FF0000"/>
              <w:szCs w:val="16"/>
            </w:rPr>
          </w:pPr>
        </w:p>
      </w:tc>
    </w:tr>
    <w:bookmarkEnd w:id="1"/>
    <w:tr w14:paraId="127ACD2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2F8328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6B7566A" w14:textId="77777777">
          <w:pPr>
            <w:jc w:val="right"/>
            <w:rPr>
              <w:b/>
              <w:szCs w:val="16"/>
            </w:rPr>
          </w:pPr>
        </w:p>
      </w:tc>
    </w:tr>
    <w:tr w14:paraId="04C3BD1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C1DA7F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8C265AE" w14:textId="77777777">
          <w:pPr>
            <w:jc w:val="right"/>
            <w:rPr>
              <w:b/>
              <w:szCs w:val="16"/>
            </w:rPr>
          </w:pPr>
          <w:bookmarkStart w:id="2" w:name="bmkSymbols"/>
          <w:r w:rsidRPr="002F6A28">
            <w:rPr>
              <w:b/>
              <w:szCs w:val="16"/>
            </w:rPr>
            <w:t>G/TBT/N/CAN/775</w:t>
          </w:r>
          <w:bookmarkEnd w:id="2"/>
        </w:p>
      </w:tc>
    </w:tr>
    <w:tr w14:paraId="779A2DC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43934DA" w14:textId="77777777"/>
      </w:tc>
      <w:tc>
        <w:tcPr>
          <w:tcW w:w="5448" w:type="dxa"/>
          <w:gridSpan w:val="2"/>
          <w:shd w:val="clear" w:color="auto" w:fill="FFFFFF"/>
          <w:tcMar>
            <w:left w:w="108" w:type="dxa"/>
            <w:right w:w="108" w:type="dxa"/>
          </w:tcMar>
          <w:vAlign w:val="center"/>
        </w:tcPr>
        <w:p w:rsidR="00ED54E0" w:rsidRPr="009239F7" w:rsidP="00B801E9" w14:paraId="01AD7CD2" w14:textId="77777777">
          <w:pPr>
            <w:jc w:val="right"/>
            <w:rPr>
              <w:szCs w:val="16"/>
            </w:rPr>
          </w:pPr>
          <w:bookmarkStart w:id="3" w:name="spsDateDistribution"/>
          <w:bookmarkStart w:id="4" w:name="bmkDate"/>
          <w:r w:rsidRPr="009239F7">
            <w:rPr>
              <w:szCs w:val="16"/>
            </w:rPr>
            <w:t>10 April 2026</w:t>
          </w:r>
          <w:bookmarkEnd w:id="3"/>
          <w:bookmarkEnd w:id="4"/>
        </w:p>
      </w:tc>
    </w:tr>
    <w:tr w14:paraId="1B1A3FD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0DBDD13" w14:textId="77777777">
          <w:pPr>
            <w:jc w:val="left"/>
            <w:rPr>
              <w:b/>
            </w:rPr>
          </w:pPr>
          <w:bookmarkStart w:id="5" w:name="bmkSerial"/>
          <w:r>
            <w:rPr>
              <w:rFonts w:ascii="Verdana" w:eastAsia="Verdana" w:hAnsi="Verdana" w:cs="Verdana"/>
              <w:b w:val="0"/>
              <w:color w:val="FF0000"/>
              <w:sz w:val="18"/>
            </w:rPr>
            <w:t>(26-2789)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DBD1D4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46C7C5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90FA9F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8F75B0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 French</w:t>
          </w:r>
          <w:bookmarkEnd w:id="9"/>
          <w:bookmarkEnd w:id="8"/>
        </w:p>
      </w:tc>
    </w:tr>
  </w:tbl>
  <w:p w:rsidR="00ED54E0" w:rsidRPr="002F6A28" w14:paraId="60EA79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03028543">
    <w:abstractNumId w:val="9"/>
  </w:num>
  <w:num w:numId="2" w16cid:durableId="138378522">
    <w:abstractNumId w:val="7"/>
  </w:num>
  <w:num w:numId="3" w16cid:durableId="1908151704">
    <w:abstractNumId w:val="6"/>
  </w:num>
  <w:num w:numId="4" w16cid:durableId="317194904">
    <w:abstractNumId w:val="5"/>
  </w:num>
  <w:num w:numId="5" w16cid:durableId="1321035819">
    <w:abstractNumId w:val="4"/>
  </w:num>
  <w:num w:numId="6" w16cid:durableId="530846861">
    <w:abstractNumId w:val="12"/>
  </w:num>
  <w:num w:numId="7" w16cid:durableId="2047947080">
    <w:abstractNumId w:val="11"/>
  </w:num>
  <w:num w:numId="8" w16cid:durableId="499583190">
    <w:abstractNumId w:val="10"/>
  </w:num>
  <w:num w:numId="9" w16cid:durableId="6001139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042680">
    <w:abstractNumId w:val="13"/>
  </w:num>
  <w:num w:numId="11" w16cid:durableId="1800340665">
    <w:abstractNumId w:val="8"/>
  </w:num>
  <w:num w:numId="12" w16cid:durableId="2076587211">
    <w:abstractNumId w:val="3"/>
  </w:num>
  <w:num w:numId="13" w16cid:durableId="1317997271">
    <w:abstractNumId w:val="2"/>
  </w:num>
  <w:num w:numId="14" w16cid:durableId="467630838">
    <w:abstractNumId w:val="1"/>
  </w:num>
  <w:num w:numId="15" w16cid:durableId="84110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455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C7960"/>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477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17A3"/>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DCC4E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gazette.gc.ca/rp-pr/p1/2025/2025-03-01/html/notice-avis-eng.html" TargetMode="External" /><Relationship Id="rId7" Type="http://schemas.openxmlformats.org/officeDocument/2006/relationships/hyperlink" Target="https://www.canada.ca/en/health-canada/services/drugs-health-products/compliance-enforcement/activities/interim-policy-packaging-labelling-sale-naloxone-kits.html" TargetMode="External" /><Relationship Id="rId8" Type="http://schemas.openxmlformats.org/officeDocument/2006/relationships/hyperlink" Target="mailto:enquirypoint@international.gc.c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32760-4024-450A-8027-24F3FB86AD3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2026-04-10T06:24:00Z</dcterms:created>
  <dcterms:modified xsi:type="dcterms:W3CDTF">2026-04-10T06:27:00Z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