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A3CB9AE" w14:textId="77777777">
      <w:pPr>
        <w:pStyle w:val="Title"/>
      </w:pPr>
      <w:r w:rsidRPr="002F663C">
        <w:t>NOTIFICATION</w:t>
      </w:r>
    </w:p>
    <w:p w:rsidR="002F663C" w:rsidRPr="002F663C" w:rsidP="00DD3DD7" w14:paraId="46AC122A" w14:textId="77777777">
      <w:pPr>
        <w:pStyle w:val="Title3"/>
      </w:pPr>
      <w:r w:rsidRPr="002F663C">
        <w:t>Addendum</w:t>
      </w:r>
    </w:p>
    <w:p w:rsidR="002F663C" w:rsidP="001E2E4A" w14:paraId="5241B9D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E823143" w14:textId="77777777">
      <w:pPr>
        <w:rPr>
          <w:rFonts w:eastAsia="Calibri" w:cs="Times New Roman"/>
        </w:rPr>
      </w:pPr>
    </w:p>
    <w:p w:rsidR="002F663C" w:rsidRPr="002F663C" w:rsidP="002F663C" w14:paraId="23A8A2DF" w14:textId="77777777">
      <w:pPr>
        <w:jc w:val="center"/>
        <w:rPr>
          <w:rFonts w:eastAsia="Calibri" w:cs="Times New Roman"/>
          <w:b/>
        </w:rPr>
      </w:pPr>
      <w:r w:rsidRPr="002F663C">
        <w:rPr>
          <w:rFonts w:eastAsia="Calibri" w:cs="Times New Roman"/>
          <w:b/>
        </w:rPr>
        <w:t>_______________</w:t>
      </w:r>
    </w:p>
    <w:p w:rsidR="002F663C" w:rsidP="002F663C" w14:paraId="177CFC16" w14:textId="77777777">
      <w:pPr>
        <w:rPr>
          <w:rFonts w:eastAsia="Calibri" w:cs="Times New Roman"/>
        </w:rPr>
      </w:pPr>
    </w:p>
    <w:p w:rsidR="00C14444" w:rsidRPr="002F663C" w:rsidP="002F663C" w14:paraId="30DF9EE0" w14:textId="77777777">
      <w:pPr>
        <w:rPr>
          <w:rFonts w:eastAsia="Calibri" w:cs="Times New Roman"/>
        </w:rPr>
      </w:pPr>
    </w:p>
    <w:p w:rsidR="002F663C" w:rsidRPr="002F663C" w:rsidP="002F663C" w14:paraId="0DDECAC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Nail Products Containing Methyl Methacrylate (MMA) as a Priority Product Department of Toxic Substances Control Reference Number: R-2023-03R</w:t>
      </w:r>
    </w:p>
    <w:p w:rsidR="002F663C" w:rsidRPr="002F663C" w:rsidP="002F663C" w14:paraId="3715C7C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7AC583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99DD97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D2C9955" w14:textId="77777777" w:rsidTr="00E9471B">
        <w:tblPrEx>
          <w:tblW w:w="9049" w:type="dxa"/>
          <w:tblLayout w:type="fixed"/>
          <w:tblLook w:val="04A0"/>
        </w:tblPrEx>
        <w:tc>
          <w:tcPr>
            <w:tcW w:w="851" w:type="dxa"/>
          </w:tcPr>
          <w:p w:rsidR="002F663C" w:rsidRPr="00711F9C" w:rsidP="00C14444" w14:paraId="49C1E3D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E4F8EF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9E973B8" w14:textId="77777777" w:rsidTr="00E9471B">
        <w:tblPrEx>
          <w:tblW w:w="9049" w:type="dxa"/>
          <w:tblLayout w:type="fixed"/>
          <w:tblLook w:val="04A0"/>
        </w:tblPrEx>
        <w:tc>
          <w:tcPr>
            <w:tcW w:w="851" w:type="dxa"/>
          </w:tcPr>
          <w:p w:rsidR="002F663C" w:rsidRPr="00711F9C" w:rsidP="00C14444" w14:paraId="7303388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D9C8D6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A118FA0" w14:textId="77777777" w:rsidTr="00E9471B">
        <w:tblPrEx>
          <w:tblW w:w="9049" w:type="dxa"/>
          <w:tblLayout w:type="fixed"/>
          <w:tblLook w:val="04A0"/>
        </w:tblPrEx>
        <w:tc>
          <w:tcPr>
            <w:tcW w:w="851" w:type="dxa"/>
          </w:tcPr>
          <w:p w:rsidR="002F663C" w:rsidRPr="00711F9C" w:rsidP="00C14444" w14:paraId="6C0948B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384DE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F58D2AC" w14:textId="77777777" w:rsidTr="00E9471B">
        <w:tblPrEx>
          <w:tblW w:w="9049" w:type="dxa"/>
          <w:tblLayout w:type="fixed"/>
          <w:tblLook w:val="04A0"/>
        </w:tblPrEx>
        <w:tc>
          <w:tcPr>
            <w:tcW w:w="851" w:type="dxa"/>
          </w:tcPr>
          <w:p w:rsidR="002F663C" w:rsidRPr="00711F9C" w:rsidP="00C14444" w14:paraId="0EBFDED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1D5BA4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F226D7E" w14:textId="77777777" w:rsidTr="00E9471B">
        <w:tblPrEx>
          <w:tblW w:w="9049" w:type="dxa"/>
          <w:tblLayout w:type="fixed"/>
          <w:tblLook w:val="04A0"/>
        </w:tblPrEx>
        <w:tc>
          <w:tcPr>
            <w:tcW w:w="851" w:type="dxa"/>
          </w:tcPr>
          <w:p w:rsidR="002F663C" w:rsidRPr="00711F9C" w:rsidP="00C14444" w14:paraId="7D96DB0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F5DDE3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457BD5C" w14:textId="77777777" w:rsidTr="00E9471B">
        <w:tblPrEx>
          <w:tblW w:w="9049" w:type="dxa"/>
          <w:tblLayout w:type="fixed"/>
          <w:tblLook w:val="04A0"/>
        </w:tblPrEx>
        <w:tc>
          <w:tcPr>
            <w:tcW w:w="851" w:type="dxa"/>
          </w:tcPr>
          <w:p w:rsidR="002F663C" w:rsidRPr="00711F9C" w:rsidP="00C14444" w14:paraId="16CF7D9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112361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2B2E71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0396E68" w14:textId="77777777" w:rsidTr="00E9471B">
        <w:tblPrEx>
          <w:tblW w:w="9049" w:type="dxa"/>
          <w:tblLayout w:type="fixed"/>
          <w:tblLook w:val="04A0"/>
        </w:tblPrEx>
        <w:tc>
          <w:tcPr>
            <w:tcW w:w="851" w:type="dxa"/>
          </w:tcPr>
          <w:p w:rsidR="002F663C" w:rsidRPr="00711F9C" w:rsidP="00C14444" w14:paraId="75085D1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CE93AE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A85F5F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AD28713" w14:textId="77777777" w:rsidTr="00E9471B">
        <w:tblPrEx>
          <w:tblW w:w="9049" w:type="dxa"/>
          <w:tblLayout w:type="fixed"/>
          <w:tblLook w:val="04A0"/>
        </w:tblPrEx>
        <w:tc>
          <w:tcPr>
            <w:tcW w:w="851" w:type="dxa"/>
          </w:tcPr>
          <w:p w:rsidR="002F663C" w:rsidRPr="00711F9C" w:rsidP="00C14444" w14:paraId="364D3A7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BC8A0E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57F52A7" w14:textId="77777777" w:rsidTr="00E9471B">
        <w:tblPrEx>
          <w:tblW w:w="9049" w:type="dxa"/>
          <w:tblLayout w:type="fixed"/>
          <w:tblLook w:val="04A0"/>
        </w:tblPrEx>
        <w:tc>
          <w:tcPr>
            <w:tcW w:w="851" w:type="dxa"/>
            <w:tcBorders>
              <w:bottom w:val="double" w:sz="4" w:space="0" w:color="auto"/>
            </w:tcBorders>
          </w:tcPr>
          <w:p w:rsidR="002F663C" w:rsidRPr="00711F9C" w:rsidP="00C14444" w14:paraId="2994E21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4FB214F9"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DDB6A06" w14:textId="77777777">
            <w:pPr>
              <w:spacing w:before="120" w:after="120"/>
              <w:rPr>
                <w:rFonts w:eastAsia="Calibri" w:cs="Times New Roman"/>
              </w:rPr>
            </w:pPr>
            <w:r>
              <w:rPr>
                <w:rFonts w:eastAsia="Calibri" w:cs="Times New Roman"/>
              </w:rPr>
              <w:t>California's Department of Toxic Substances Control (DTSC) reminds domestic and foreign manufacturers of nail coatings and artificial nails containing methyl methacrylate (MMA) above 1,000 ppm that a Priority Product Notification (PPN) must be submitted by 1 June 2026 to comply with requirements applicable to products sold in California.</w:t>
            </w:r>
          </w:p>
        </w:tc>
      </w:tr>
      <w:bookmarkEnd w:id="0"/>
    </w:tbl>
    <w:p w:rsidR="002F663C" w:rsidRPr="002F663C" w:rsidP="002F663C" w14:paraId="6092AEDA" w14:textId="77777777">
      <w:pPr>
        <w:jc w:val="left"/>
        <w:rPr>
          <w:rFonts w:eastAsia="Calibri" w:cs="Times New Roman"/>
          <w:highlight w:val="yellow"/>
        </w:rPr>
      </w:pPr>
    </w:p>
    <w:p w:rsidR="003971FF" w:rsidRPr="007F6EA2" w:rsidP="00B16ACF" w14:paraId="764AC76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After submitting the PPN, manufacturers of products sold in the state of California will have the option to submit one of the following, as specified in the </w:t>
      </w:r>
      <w:hyperlink r:id="rId7" w:history="1">
        <w:r w:rsidRPr="002F663C">
          <w:rPr>
            <w:rFonts w:eastAsia="Calibri" w:cs="Times New Roman"/>
            <w:color w:val="0000FF"/>
            <w:szCs w:val="18"/>
            <w:u w:val="single"/>
          </w:rPr>
          <w:t>Safer Consumer Product Regulations</w:t>
        </w:r>
      </w:hyperlink>
      <w:r w:rsidRPr="002F663C">
        <w:rPr>
          <w:rFonts w:eastAsia="Calibri" w:cs="Times New Roman"/>
          <w:szCs w:val="18"/>
        </w:rPr>
        <w:t xml:space="preserve">, by 28 September 2026: </w:t>
      </w:r>
    </w:p>
    <w:p w:rsidR="00567347" w:rsidRPr="002F663C" w:rsidP="00B16ACF" w14:paraId="2DD0649B" w14:textId="77777777">
      <w:pPr>
        <w:spacing w:before="120" w:after="120"/>
        <w:rPr>
          <w:rFonts w:eastAsia="Calibri" w:cs="Times New Roman"/>
          <w:szCs w:val="18"/>
        </w:rPr>
      </w:pPr>
      <w:r w:rsidRPr="002F663C">
        <w:rPr>
          <w:rFonts w:eastAsia="Calibri" w:cs="Times New Roman"/>
          <w:szCs w:val="18"/>
        </w:rPr>
        <w:t xml:space="preserve">Chemical Removal </w:t>
      </w:r>
      <w:hyperlink r:id="rId8" w:history="1">
        <w:r w:rsidRPr="002F663C">
          <w:rPr>
            <w:rFonts w:eastAsia="Calibri" w:cs="Times New Roman"/>
            <w:color w:val="0000FF"/>
            <w:szCs w:val="18"/>
            <w:u w:val="single"/>
          </w:rPr>
          <w:t>Intent</w:t>
        </w:r>
      </w:hyperlink>
      <w:r w:rsidRPr="002F663C">
        <w:rPr>
          <w:rFonts w:eastAsia="Calibri" w:cs="Times New Roman"/>
          <w:szCs w:val="18"/>
        </w:rPr>
        <w:t>/</w:t>
      </w:r>
      <w:hyperlink r:id="rId9" w:history="1">
        <w:r w:rsidRPr="002F663C">
          <w:rPr>
            <w:rFonts w:eastAsia="Calibri" w:cs="Times New Roman"/>
            <w:color w:val="0000FF"/>
            <w:szCs w:val="18"/>
            <w:u w:val="single"/>
          </w:rPr>
          <w:t>Confirmation</w:t>
        </w:r>
      </w:hyperlink>
      <w:r w:rsidRPr="002F663C">
        <w:rPr>
          <w:rFonts w:eastAsia="Calibri" w:cs="Times New Roman"/>
          <w:szCs w:val="18"/>
        </w:rPr>
        <w:t xml:space="preserve"> Notification,</w:t>
      </w:r>
    </w:p>
    <w:p w:rsidR="00567347" w:rsidRPr="002F663C" w:rsidP="00B16ACF" w14:paraId="2EB04BFA" w14:textId="77777777">
      <w:pPr>
        <w:spacing w:before="120" w:after="120"/>
        <w:rPr>
          <w:rFonts w:eastAsia="Calibri" w:cs="Times New Roman"/>
          <w:szCs w:val="18"/>
        </w:rPr>
      </w:pPr>
      <w:r w:rsidRPr="002F663C">
        <w:rPr>
          <w:rFonts w:eastAsia="Calibri" w:cs="Times New Roman"/>
          <w:szCs w:val="18"/>
        </w:rPr>
        <w:t xml:space="preserve">Product Removal </w:t>
      </w:r>
      <w:hyperlink r:id="rId10" w:history="1">
        <w:r w:rsidRPr="002F663C">
          <w:rPr>
            <w:rFonts w:eastAsia="Calibri" w:cs="Times New Roman"/>
            <w:color w:val="0000FF"/>
            <w:szCs w:val="18"/>
            <w:u w:val="single"/>
          </w:rPr>
          <w:t>Intent</w:t>
        </w:r>
      </w:hyperlink>
      <w:r w:rsidRPr="002F663C">
        <w:rPr>
          <w:rFonts w:eastAsia="Calibri" w:cs="Times New Roman"/>
          <w:szCs w:val="18"/>
        </w:rPr>
        <w:t>/</w:t>
      </w:r>
      <w:hyperlink r:id="rId11" w:history="1">
        <w:r w:rsidRPr="002F663C">
          <w:rPr>
            <w:rFonts w:eastAsia="Calibri" w:cs="Times New Roman"/>
            <w:color w:val="0000FF"/>
            <w:szCs w:val="18"/>
            <w:u w:val="single"/>
          </w:rPr>
          <w:t>Confirmation</w:t>
        </w:r>
      </w:hyperlink>
      <w:r w:rsidRPr="002F663C">
        <w:rPr>
          <w:rFonts w:eastAsia="Calibri" w:cs="Times New Roman"/>
          <w:szCs w:val="18"/>
        </w:rPr>
        <w:t xml:space="preserve"> Notification,</w:t>
      </w:r>
    </w:p>
    <w:p w:rsidR="00567347" w:rsidRPr="002F663C" w:rsidP="00B16ACF" w14:paraId="3C5F7C1B" w14:textId="77777777">
      <w:pPr>
        <w:spacing w:before="120" w:after="120"/>
        <w:rPr>
          <w:rFonts w:eastAsia="Calibri" w:cs="Times New Roman"/>
          <w:szCs w:val="18"/>
        </w:rPr>
      </w:pPr>
      <w:r w:rsidRPr="002F663C">
        <w:rPr>
          <w:rFonts w:eastAsia="Calibri" w:cs="Times New Roman"/>
          <w:szCs w:val="18"/>
        </w:rPr>
        <w:t xml:space="preserve">Product-Chemical Replacement </w:t>
      </w:r>
      <w:hyperlink r:id="rId12" w:history="1">
        <w:r w:rsidRPr="002F663C">
          <w:rPr>
            <w:rFonts w:eastAsia="Calibri" w:cs="Times New Roman"/>
            <w:color w:val="0000FF"/>
            <w:szCs w:val="18"/>
            <w:u w:val="single"/>
          </w:rPr>
          <w:t>Intent</w:t>
        </w:r>
      </w:hyperlink>
      <w:r w:rsidRPr="002F663C">
        <w:rPr>
          <w:rFonts w:eastAsia="Calibri" w:cs="Times New Roman"/>
          <w:szCs w:val="18"/>
        </w:rPr>
        <w:t>/</w:t>
      </w:r>
      <w:hyperlink r:id="rId13" w:history="1">
        <w:r w:rsidRPr="002F663C">
          <w:rPr>
            <w:rFonts w:eastAsia="Calibri" w:cs="Times New Roman"/>
            <w:color w:val="0000FF"/>
            <w:szCs w:val="18"/>
            <w:u w:val="single"/>
          </w:rPr>
          <w:t>Confirmation</w:t>
        </w:r>
      </w:hyperlink>
      <w:r w:rsidRPr="002F663C">
        <w:rPr>
          <w:rFonts w:eastAsia="Calibri" w:cs="Times New Roman"/>
          <w:szCs w:val="18"/>
        </w:rPr>
        <w:t xml:space="preserve"> Notification, or</w:t>
      </w:r>
    </w:p>
    <w:p w:rsidR="00567347" w:rsidRPr="002F663C" w:rsidP="00B16ACF" w14:paraId="3628D9D2" w14:textId="77777777">
      <w:pPr>
        <w:spacing w:before="120" w:after="120"/>
        <w:rPr>
          <w:rFonts w:eastAsia="Calibri" w:cs="Times New Roman"/>
          <w:szCs w:val="18"/>
        </w:rPr>
      </w:pPr>
      <w:hyperlink r:id="rId14" w:history="1">
        <w:r w:rsidRPr="002F663C">
          <w:rPr>
            <w:rFonts w:eastAsia="Calibri" w:cs="Times New Roman"/>
            <w:color w:val="0000FF"/>
            <w:szCs w:val="18"/>
            <w:u w:val="single"/>
          </w:rPr>
          <w:t>Preliminary Alternatives Analysis Report</w:t>
        </w:r>
      </w:hyperlink>
      <w:r w:rsidRPr="002F663C">
        <w:rPr>
          <w:rFonts w:eastAsia="Calibri" w:cs="Times New Roman"/>
          <w:szCs w:val="18"/>
        </w:rPr>
        <w:t xml:space="preserve"> or these </w:t>
      </w:r>
      <w:hyperlink r:id="rId15" w:history="1">
        <w:r w:rsidRPr="002F663C">
          <w:rPr>
            <w:rFonts w:eastAsia="Calibri" w:cs="Times New Roman"/>
            <w:color w:val="0000FF"/>
            <w:szCs w:val="18"/>
            <w:u w:val="single"/>
          </w:rPr>
          <w:t>alternate reporting options</w:t>
        </w:r>
      </w:hyperlink>
      <w:r w:rsidRPr="002F663C">
        <w:rPr>
          <w:rFonts w:eastAsia="Calibri" w:cs="Times New Roman"/>
          <w:szCs w:val="18"/>
        </w:rPr>
        <w:t>.</w:t>
      </w:r>
    </w:p>
    <w:p w:rsidR="00567347" w:rsidRPr="002F663C" w:rsidP="00B16ACF" w14:paraId="5839281A" w14:textId="77777777">
      <w:pPr>
        <w:spacing w:before="120" w:after="120"/>
        <w:rPr>
          <w:rFonts w:eastAsia="Calibri" w:cs="Times New Roman"/>
          <w:szCs w:val="18"/>
        </w:rPr>
      </w:pPr>
      <w:r w:rsidRPr="002F663C">
        <w:rPr>
          <w:rFonts w:eastAsia="Calibri" w:cs="Times New Roman"/>
          <w:szCs w:val="18"/>
        </w:rPr>
        <w:t xml:space="preserve">These Notifications and Reports should be submitted through DTSC's </w:t>
      </w:r>
      <w:hyperlink r:id="rId16" w:history="1">
        <w:r w:rsidRPr="002F663C">
          <w:rPr>
            <w:rFonts w:eastAsia="Calibri" w:cs="Times New Roman"/>
            <w:color w:val="0000FF"/>
            <w:szCs w:val="18"/>
            <w:u w:val="single"/>
          </w:rPr>
          <w:t>CalSAFER</w:t>
        </w:r>
      </w:hyperlink>
      <w:r w:rsidRPr="002F663C">
        <w:rPr>
          <w:rFonts w:eastAsia="Calibri" w:cs="Times New Roman"/>
          <w:szCs w:val="18"/>
        </w:rPr>
        <w:t xml:space="preserve"> portal. The CalSAFER data management system is maintained by DTSC, which operates as the information center for the </w:t>
      </w:r>
      <w:hyperlink r:id="rId17" w:history="1">
        <w:r w:rsidRPr="002F663C">
          <w:rPr>
            <w:rFonts w:eastAsia="Calibri" w:cs="Times New Roman"/>
            <w:color w:val="0000FF"/>
            <w:szCs w:val="18"/>
            <w:u w:val="single"/>
          </w:rPr>
          <w:t>regulatory activities</w:t>
        </w:r>
      </w:hyperlink>
      <w:r w:rsidRPr="002F663C">
        <w:rPr>
          <w:rFonts w:eastAsia="Calibri" w:cs="Times New Roman"/>
          <w:szCs w:val="18"/>
        </w:rPr>
        <w:t xml:space="preserve"> of the </w:t>
      </w:r>
      <w:hyperlink r:id="rId18" w:history="1">
        <w:r w:rsidRPr="002F663C">
          <w:rPr>
            <w:rFonts w:eastAsia="Calibri" w:cs="Times New Roman"/>
            <w:color w:val="0000FF"/>
            <w:szCs w:val="18"/>
            <w:u w:val="single"/>
          </w:rPr>
          <w:t>Safer Consumer Products Program</w:t>
        </w:r>
      </w:hyperlink>
      <w:r w:rsidRPr="002F663C">
        <w:rPr>
          <w:rFonts w:eastAsia="Calibri" w:cs="Times New Roman"/>
          <w:szCs w:val="18"/>
        </w:rPr>
        <w:t xml:space="preserve"> (SCP). Instructional videos are available on </w:t>
      </w:r>
      <w:hyperlink r:id="rId19" w:history="1">
        <w:r w:rsidRPr="002F663C">
          <w:rPr>
            <w:rFonts w:eastAsia="Calibri" w:cs="Times New Roman"/>
            <w:color w:val="0000FF"/>
            <w:szCs w:val="18"/>
            <w:u w:val="single"/>
          </w:rPr>
          <w:t>how to register for CalSAFER</w:t>
        </w:r>
      </w:hyperlink>
      <w:r w:rsidRPr="002F663C">
        <w:rPr>
          <w:rFonts w:eastAsia="Calibri" w:cs="Times New Roman"/>
          <w:szCs w:val="18"/>
        </w:rPr>
        <w:t xml:space="preserve"> and </w:t>
      </w:r>
      <w:hyperlink r:id="rId20" w:history="1">
        <w:r w:rsidRPr="002F663C">
          <w:rPr>
            <w:rFonts w:eastAsia="Calibri" w:cs="Times New Roman"/>
            <w:color w:val="0000FF"/>
            <w:szCs w:val="18"/>
            <w:u w:val="single"/>
          </w:rPr>
          <w:t>how to submit a PPN</w:t>
        </w:r>
      </w:hyperlink>
      <w:r w:rsidRPr="002F663C">
        <w:rPr>
          <w:rFonts w:eastAsia="Calibri" w:cs="Times New Roman"/>
          <w:szCs w:val="18"/>
        </w:rPr>
        <w:t xml:space="preserve">. For more information on complying with Priority Product regulations, please refer to the </w:t>
      </w:r>
      <w:hyperlink r:id="rId21" w:history="1">
        <w:r w:rsidRPr="002F663C">
          <w:rPr>
            <w:rFonts w:eastAsia="Calibri" w:cs="Times New Roman"/>
            <w:color w:val="0000FF"/>
            <w:szCs w:val="18"/>
            <w:u w:val="single"/>
          </w:rPr>
          <w:t>training materials</w:t>
        </w:r>
      </w:hyperlink>
      <w:r w:rsidRPr="002F663C">
        <w:rPr>
          <w:rFonts w:eastAsia="Calibri" w:cs="Times New Roman"/>
          <w:szCs w:val="18"/>
        </w:rPr>
        <w:t xml:space="preserve"> provided by DTSC.</w:t>
      </w:r>
    </w:p>
    <w:p w:rsidR="00567347" w:rsidRPr="002F663C" w:rsidP="00B16ACF" w14:paraId="23C44CFB" w14:textId="77777777">
      <w:pPr>
        <w:spacing w:before="120" w:after="120"/>
        <w:rPr>
          <w:rFonts w:eastAsia="Calibri" w:cs="Times New Roman"/>
          <w:szCs w:val="18"/>
        </w:rPr>
      </w:pPr>
      <w:r w:rsidRPr="002F663C">
        <w:rPr>
          <w:rFonts w:eastAsia="Calibri" w:cs="Times New Roman"/>
          <w:szCs w:val="18"/>
        </w:rPr>
        <w:t xml:space="preserve">The final regulatory text, previously notified, is accessible at </w:t>
      </w:r>
      <w:hyperlink r:id="rId22" w:history="1">
        <w:r w:rsidRPr="002F663C">
          <w:rPr>
            <w:rFonts w:eastAsia="Calibri" w:cs="Times New Roman"/>
            <w:color w:val="0000FF"/>
            <w:szCs w:val="18"/>
            <w:u w:val="single"/>
          </w:rPr>
          <w:t>https://dtsc.ca.gov/wp-content/uploads/sites/31/2025/12/R-2023-03R-Final-Package-02-Final-Regulatory-Text.pdf</w:t>
        </w:r>
      </w:hyperlink>
      <w:r w:rsidRPr="002F663C">
        <w:rPr>
          <w:rFonts w:eastAsia="Calibri" w:cs="Times New Roman"/>
          <w:szCs w:val="18"/>
        </w:rPr>
        <w:t>.</w:t>
      </w:r>
    </w:p>
    <w:p w:rsidR="00567347" w:rsidRPr="002F663C" w:rsidP="00B16ACF" w14:paraId="3CCA035D" w14:textId="77777777">
      <w:pPr>
        <w:spacing w:before="120" w:after="120"/>
        <w:rPr>
          <w:rFonts w:eastAsia="Calibri" w:cs="Times New Roman"/>
          <w:szCs w:val="18"/>
        </w:rPr>
      </w:pPr>
      <w:r w:rsidRPr="002F663C">
        <w:rPr>
          <w:rFonts w:eastAsia="Calibri" w:cs="Times New Roman"/>
          <w:szCs w:val="18"/>
        </w:rPr>
        <w:t>Manufacturers of nail products that do not contain MMA in concentrations greater than 1,000 ppm do not need to take any action. Manufacturers do not need to take any action regarding nail products manufactured prior to 1 April 2026.</w:t>
      </w:r>
    </w:p>
    <w:p w:rsidR="006C5A96" w:rsidP="006C5A96" w14:paraId="2CEFD9E2" w14:textId="77777777">
      <w:pPr>
        <w:jc w:val="center"/>
        <w:rPr>
          <w:b/>
        </w:rPr>
      </w:pPr>
      <w:r w:rsidRPr="003971FF">
        <w:rPr>
          <w:b/>
        </w:rPr>
        <w:t>__________</w:t>
      </w:r>
    </w:p>
    <w:p w:rsidR="004D4D19" w:rsidP="007F38C2" w14:paraId="08867771" w14:textId="77777777">
      <w:pPr>
        <w:jc w:val="center"/>
        <w:rPr>
          <w:b/>
        </w:rPr>
      </w:pPr>
    </w:p>
    <w:p w:rsidR="00A1565D" w:rsidP="003971FF" w14:paraId="29A0D057" w14:textId="77777777">
      <w:pPr>
        <w:jc w:val="center"/>
        <w:rPr>
          <w:b/>
        </w:rPr>
      </w:pPr>
    </w:p>
    <w:sectPr w:rsidSect="006C5A96">
      <w:headerReference w:type="even" r:id="rId23"/>
      <w:headerReference w:type="default" r:id="rId24"/>
      <w:footerReference w:type="even" r:id="rId25"/>
      <w:footerReference w:type="default" r:id="rId26"/>
      <w:headerReference w:type="first" r:id="rId2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903FA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14282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930E38C" w14:textId="77777777">
      <w:r>
        <w:separator/>
      </w:r>
    </w:p>
  </w:footnote>
  <w:footnote w:type="continuationSeparator" w:id="1">
    <w:p w:rsidR="004D3A6A" w:rsidP="00ED54E0" w14:paraId="1C6C2F87" w14:textId="77777777">
      <w:r>
        <w:continuationSeparator/>
      </w:r>
    </w:p>
  </w:footnote>
  <w:footnote w:id="2">
    <w:p w:rsidR="007F6EA2" w14:paraId="7469A7C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E3E956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1F592C4" w14:textId="77777777">
    <w:pPr>
      <w:pStyle w:val="Header"/>
      <w:pBdr>
        <w:bottom w:val="single" w:sz="4" w:space="1" w:color="auto"/>
      </w:pBdr>
      <w:tabs>
        <w:tab w:val="clear" w:pos="4513"/>
        <w:tab w:val="clear" w:pos="9027"/>
      </w:tabs>
      <w:jc w:val="center"/>
    </w:pPr>
  </w:p>
  <w:p w:rsidR="00DD3DD7" w:rsidRPr="00DD3DD7" w:rsidP="00DD3DD7" w14:paraId="650C2B9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EF1172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18E135A" w14:textId="77777777">
    <w:pPr>
      <w:pStyle w:val="Header"/>
      <w:pBdr>
        <w:bottom w:val="single" w:sz="4" w:space="1" w:color="auto"/>
      </w:pBdr>
      <w:tabs>
        <w:tab w:val="clear" w:pos="4513"/>
        <w:tab w:val="clear" w:pos="9027"/>
      </w:tabs>
      <w:jc w:val="center"/>
    </w:pPr>
    <w:bookmarkStart w:id="3" w:name="spsSymbolHeader"/>
    <w:r w:rsidRPr="00DD3DD7">
      <w:t>G/TBT/N/USA/2160/Add.3</w:t>
    </w:r>
    <w:bookmarkEnd w:id="3"/>
  </w:p>
  <w:p w:rsidR="00DD3DD7" w:rsidRPr="00DD3DD7" w:rsidP="00DD3DD7" w14:paraId="6289252E" w14:textId="77777777">
    <w:pPr>
      <w:pStyle w:val="Header"/>
      <w:pBdr>
        <w:bottom w:val="single" w:sz="4" w:space="1" w:color="auto"/>
      </w:pBdr>
      <w:tabs>
        <w:tab w:val="clear" w:pos="4513"/>
        <w:tab w:val="clear" w:pos="9027"/>
      </w:tabs>
      <w:jc w:val="center"/>
    </w:pPr>
  </w:p>
  <w:p w:rsidR="00DD3DD7" w:rsidRPr="00DD3DD7" w:rsidP="00DD3DD7" w14:paraId="42644C7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CD693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4B19D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68FF3B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B84D0CD" w14:textId="77777777">
          <w:pPr>
            <w:jc w:val="right"/>
            <w:rPr>
              <w:b/>
              <w:color w:val="FF0000"/>
              <w:szCs w:val="16"/>
            </w:rPr>
          </w:pPr>
          <w:r>
            <w:rPr>
              <w:b/>
              <w:color w:val="FF0000"/>
              <w:szCs w:val="16"/>
            </w:rPr>
            <w:t xml:space="preserve"> </w:t>
          </w:r>
        </w:p>
      </w:tc>
    </w:tr>
    <w:tr w14:paraId="32B4004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92B575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EC2D00B" w14:textId="77777777">
          <w:pPr>
            <w:jc w:val="right"/>
            <w:rPr>
              <w:b/>
              <w:szCs w:val="16"/>
            </w:rPr>
          </w:pPr>
        </w:p>
      </w:tc>
    </w:tr>
    <w:tr w14:paraId="0AC559A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E7A715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A59F0A3" w14:textId="77777777">
          <w:pPr>
            <w:jc w:val="right"/>
            <w:rPr>
              <w:rFonts w:eastAsia="Calibri" w:cs="Times New Roman"/>
              <w:b/>
              <w:szCs w:val="16"/>
            </w:rPr>
          </w:pPr>
          <w:bookmarkStart w:id="4" w:name="bmkSymbols"/>
          <w:r w:rsidRPr="002F663C">
            <w:rPr>
              <w:rFonts w:eastAsia="Calibri" w:cs="Times New Roman"/>
              <w:b/>
              <w:szCs w:val="16"/>
            </w:rPr>
            <w:t>G/TBT/N/USA/2160/Add.3</w:t>
          </w:r>
          <w:bookmarkEnd w:id="4"/>
        </w:p>
        <w:p w:rsidR="00C14444" w:rsidRPr="00C14444" w:rsidP="00C14444" w14:paraId="6771909A" w14:textId="77777777">
          <w:pPr>
            <w:jc w:val="center"/>
            <w:rPr>
              <w:szCs w:val="16"/>
            </w:rPr>
          </w:pPr>
        </w:p>
      </w:tc>
    </w:tr>
    <w:tr w14:paraId="47DC03F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00D6995" w14:textId="77777777"/>
      </w:tc>
      <w:tc>
        <w:tcPr>
          <w:tcW w:w="5448" w:type="dxa"/>
          <w:gridSpan w:val="2"/>
          <w:shd w:val="clear" w:color="auto" w:fill="FFFFFF"/>
          <w:tcMar>
            <w:left w:w="108" w:type="dxa"/>
            <w:right w:w="108" w:type="dxa"/>
          </w:tcMar>
          <w:vAlign w:val="center"/>
        </w:tcPr>
        <w:p w:rsidR="00ED54E0" w:rsidRPr="00182B84" w:rsidP="00425DC5" w14:paraId="2D985405" w14:textId="77777777">
          <w:pPr>
            <w:jc w:val="right"/>
            <w:rPr>
              <w:szCs w:val="16"/>
            </w:rPr>
          </w:pPr>
          <w:bookmarkStart w:id="5" w:name="bmkDate"/>
          <w:r w:rsidRPr="00182B84">
            <w:rPr>
              <w:szCs w:val="16"/>
            </w:rPr>
            <w:t>8 April 2026</w:t>
          </w:r>
          <w:bookmarkEnd w:id="5"/>
        </w:p>
      </w:tc>
    </w:tr>
    <w:tr w14:paraId="1ADD9A5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E90940F" w14:textId="77777777">
          <w:pPr>
            <w:jc w:val="left"/>
            <w:rPr>
              <w:b/>
            </w:rPr>
          </w:pPr>
          <w:bookmarkStart w:id="6" w:name="bmkSerial"/>
          <w:r>
            <w:rPr>
              <w:rFonts w:ascii="Verdana" w:eastAsia="Verdana" w:hAnsi="Verdana" w:cs="Verdana"/>
              <w:b w:val="0"/>
              <w:color w:val="FF0000"/>
              <w:sz w:val="18"/>
            </w:rPr>
            <w:t>(26-2730)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B8CFD4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62B629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2768D5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91A047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97113C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7822206">
    <w:abstractNumId w:val="9"/>
  </w:num>
  <w:num w:numId="2" w16cid:durableId="506090865">
    <w:abstractNumId w:val="7"/>
  </w:num>
  <w:num w:numId="3" w16cid:durableId="1878078026">
    <w:abstractNumId w:val="6"/>
  </w:num>
  <w:num w:numId="4" w16cid:durableId="920140179">
    <w:abstractNumId w:val="5"/>
  </w:num>
  <w:num w:numId="5" w16cid:durableId="1273901793">
    <w:abstractNumId w:val="4"/>
  </w:num>
  <w:num w:numId="6" w16cid:durableId="551768036">
    <w:abstractNumId w:val="12"/>
  </w:num>
  <w:num w:numId="7" w16cid:durableId="1528641926">
    <w:abstractNumId w:val="11"/>
  </w:num>
  <w:num w:numId="8" w16cid:durableId="120075895">
    <w:abstractNumId w:val="10"/>
  </w:num>
  <w:num w:numId="9" w16cid:durableId="1399090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4503763">
    <w:abstractNumId w:val="13"/>
  </w:num>
  <w:num w:numId="11" w16cid:durableId="6057132">
    <w:abstractNumId w:val="8"/>
  </w:num>
  <w:num w:numId="12" w16cid:durableId="1914461242">
    <w:abstractNumId w:val="3"/>
  </w:num>
  <w:num w:numId="13" w16cid:durableId="1987589691">
    <w:abstractNumId w:val="2"/>
  </w:num>
  <w:num w:numId="14" w16cid:durableId="169099684">
    <w:abstractNumId w:val="1"/>
  </w:num>
  <w:num w:numId="15" w16cid:durableId="516847342">
    <w:abstractNumId w:val="0"/>
  </w:num>
  <w:num w:numId="16" w16cid:durableId="129101449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C510A"/>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4197"/>
    <w:rsid w:val="00467032"/>
    <w:rsid w:val="0046754A"/>
    <w:rsid w:val="00467A46"/>
    <w:rsid w:val="004A220F"/>
    <w:rsid w:val="004C5A53"/>
    <w:rsid w:val="004D3A6A"/>
    <w:rsid w:val="004D4D19"/>
    <w:rsid w:val="004F203A"/>
    <w:rsid w:val="005336B8"/>
    <w:rsid w:val="00544326"/>
    <w:rsid w:val="00547B5F"/>
    <w:rsid w:val="00567347"/>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260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alsafer.dtsc.ca.gov/workflows/ProductRemovalIntent/" TargetMode="External" /><Relationship Id="rId11" Type="http://schemas.openxmlformats.org/officeDocument/2006/relationships/hyperlink" Target="https://calsafer.dtsc.ca.gov/workflows/ProductRemovalConfirmation/" TargetMode="External" /><Relationship Id="rId12" Type="http://schemas.openxmlformats.org/officeDocument/2006/relationships/hyperlink" Target="https://calsafer.dtsc.ca.gov/workflows/ProductChemicalReplacementIntent/" TargetMode="External" /><Relationship Id="rId13" Type="http://schemas.openxmlformats.org/officeDocument/2006/relationships/hyperlink" Target="https://calsafer.dtsc.ca.gov/workflows/ProductChemicalReplacementConfirmation/" TargetMode="External" /><Relationship Id="rId14" Type="http://schemas.openxmlformats.org/officeDocument/2006/relationships/hyperlink" Target="https://calsafer.dtsc.ca.gov/workflows/PreliminaryAAReport/" TargetMode="External" /><Relationship Id="rId15" Type="http://schemas.openxmlformats.org/officeDocument/2006/relationships/hyperlink" Target="https://dtsc.ca.gov/scp/alternatives-analysis-reporting-options/" TargetMode="External" /><Relationship Id="rId16" Type="http://schemas.openxmlformats.org/officeDocument/2006/relationships/hyperlink" Target="https://calsafer.dtsc.ca.gov/" TargetMode="External" /><Relationship Id="rId17" Type="http://schemas.openxmlformats.org/officeDocument/2006/relationships/hyperlink" Target="https://dtsc.ca.gov/regs/" TargetMode="External" /><Relationship Id="rId18" Type="http://schemas.openxmlformats.org/officeDocument/2006/relationships/hyperlink" Target="https://dtsc.ca.gov/scp/safer-consumer-products-program-overview/" TargetMode="External" /><Relationship Id="rId19" Type="http://schemas.openxmlformats.org/officeDocument/2006/relationships/hyperlink" Target="https://www.youtube.com/watch?v=jg6jcAkJFGY" TargetMode="External" /><Relationship Id="rId2" Type="http://schemas.openxmlformats.org/officeDocument/2006/relationships/settings" Target="settings.xml" /><Relationship Id="rId20" Type="http://schemas.openxmlformats.org/officeDocument/2006/relationships/hyperlink" Target="https://www.youtube.com/watch?v=UxSf5pbgEiQ" TargetMode="External" /><Relationship Id="rId21" Type="http://schemas.openxmlformats.org/officeDocument/2006/relationships/hyperlink" Target="https://dtsc.ca.gov/scp/training%20materials/" TargetMode="External" /><Relationship Id="rId22" Type="http://schemas.openxmlformats.org/officeDocument/2006/relationships/hyperlink" Target="https://dtsc.ca.gov/wp-content/uploads/sites/31/2025/12/R-2023-03R-Final-Package-02-Final-Regulatory-Text.pdf"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dtsc.ca.gov/scp/nail-products-containing-mma/" TargetMode="External" /><Relationship Id="rId8" Type="http://schemas.openxmlformats.org/officeDocument/2006/relationships/hyperlink" Target="https://calsafer.dtsc.ca.gov/workflows/ChemicalRemovalIntent/" TargetMode="External" /><Relationship Id="rId9" Type="http://schemas.openxmlformats.org/officeDocument/2006/relationships/hyperlink" Target="https://calsafer.dtsc.ca.gov/workflows/ChemicalRemovalConfirmatio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0E333E2-C90A-4852-ACA2-04B75D99AD5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2026-04-08T08:38:00Z</dcterms:created>
  <dcterms:modified xsi:type="dcterms:W3CDTF">2026-04-08T08:38:00Z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