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638224D" w14:textId="77777777">
      <w:pPr>
        <w:pStyle w:val="Title"/>
        <w:rPr>
          <w:caps w:val="0"/>
          <w:kern w:val="0"/>
        </w:rPr>
      </w:pPr>
      <w:r w:rsidRPr="002F6A28">
        <w:rPr>
          <w:caps w:val="0"/>
          <w:kern w:val="0"/>
        </w:rPr>
        <w:t>NOTIFICATION</w:t>
      </w:r>
    </w:p>
    <w:p w:rsidR="009239F7" w:rsidRPr="002F6A28" w:rsidP="002F6A28" w14:paraId="5288A77B" w14:textId="77777777">
      <w:pPr>
        <w:jc w:val="center"/>
      </w:pPr>
      <w:r w:rsidRPr="002F6A28">
        <w:t>The following notification is being circulated in accordance with Article 10.6</w:t>
      </w:r>
    </w:p>
    <w:p w:rsidR="009239F7" w:rsidRPr="002F6A28" w:rsidP="002F6A28" w14:paraId="5F8E0CC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DAE8C73" w14:textId="77777777" w:rsidTr="00DB13FE">
        <w:tblPrEx>
          <w:tblW w:w="5000" w:type="pct"/>
          <w:tblLayout w:type="fixed"/>
          <w:tblLook w:val="0000"/>
        </w:tblPrEx>
        <w:tc>
          <w:tcPr>
            <w:tcW w:w="607" w:type="dxa"/>
            <w:tcBorders>
              <w:top w:val="double" w:sz="4" w:space="0" w:color="auto"/>
            </w:tcBorders>
          </w:tcPr>
          <w:p w:rsidR="00F85C99" w:rsidRPr="002F6A28" w:rsidP="002F6A28" w14:paraId="678CE1C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BE143E"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711B418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7250F08" w14:textId="77777777" w:rsidTr="00DB13FE">
        <w:tblPrEx>
          <w:tblW w:w="5000" w:type="pct"/>
          <w:tblLayout w:type="fixed"/>
          <w:tblLook w:val="0000"/>
        </w:tblPrEx>
        <w:tc>
          <w:tcPr>
            <w:tcW w:w="607" w:type="dxa"/>
          </w:tcPr>
          <w:p w:rsidR="00F85C99" w:rsidRPr="002F6A28" w:rsidP="002F6A28" w14:paraId="6C4EE387" w14:textId="77777777">
            <w:pPr>
              <w:spacing w:before="120" w:after="120"/>
              <w:jc w:val="left"/>
            </w:pPr>
            <w:r w:rsidRPr="002F6A28">
              <w:rPr>
                <w:b/>
              </w:rPr>
              <w:t>2.</w:t>
            </w:r>
          </w:p>
        </w:tc>
        <w:tc>
          <w:tcPr>
            <w:tcW w:w="8373" w:type="dxa"/>
          </w:tcPr>
          <w:p w:rsidR="00F85C99" w:rsidRPr="002F6A28" w:rsidP="000C3B6C" w14:paraId="297BA463" w14:textId="77777777">
            <w:pPr>
              <w:spacing w:before="120" w:after="120"/>
            </w:pPr>
            <w:r w:rsidRPr="002F6A28">
              <w:rPr>
                <w:b/>
              </w:rPr>
              <w:t>Agency responsible:</w:t>
            </w:r>
            <w:r w:rsidRPr="00C379C8" w:rsidR="00EE3A11">
              <w:t xml:space="preserve"> </w:t>
            </w:r>
          </w:p>
          <w:p w:rsidR="00EE3A11" w:rsidRPr="00C379C8" w:rsidP="000C3B6C" w14:paraId="075E24A3" w14:textId="77777777">
            <w:r w:rsidRPr="00C379C8">
              <w:t>Dr. Charmaine Ann M. Rabago</w:t>
            </w:r>
          </w:p>
          <w:p w:rsidR="00EE3A11" w:rsidRPr="00C379C8" w:rsidP="000C3B6C" w14:paraId="41B03D4F" w14:textId="77777777">
            <w:r w:rsidRPr="00C379C8">
              <w:t>Officer-in-Charge, Director IV</w:t>
            </w:r>
          </w:p>
          <w:p w:rsidR="00EE3A11" w:rsidRPr="00C379C8" w:rsidP="000C3B6C" w14:paraId="212CCD1A" w14:textId="77777777">
            <w:r w:rsidRPr="00C379C8">
              <w:t>Center for Drug Regulation and Research</w:t>
            </w:r>
          </w:p>
          <w:p w:rsidR="00EE3A11" w:rsidRPr="00C379C8" w:rsidP="000C3B6C" w14:paraId="4EC52A46" w14:textId="77777777">
            <w:r w:rsidRPr="00C379C8">
              <w:t>Food and Drug Administration</w:t>
            </w:r>
          </w:p>
          <w:p w:rsidR="00EE3A11" w:rsidRPr="00C379C8" w:rsidP="000C3B6C" w14:paraId="7CF3925F" w14:textId="77777777">
            <w:r w:rsidRPr="00C379C8">
              <w:t>DEPARTMENT OF HEALTH</w:t>
            </w:r>
          </w:p>
          <w:p w:rsidR="00EE3A11" w:rsidRPr="00C379C8" w:rsidP="000C3B6C" w14:paraId="274349A3" w14:textId="77777777">
            <w:r w:rsidRPr="00C379C8">
              <w:t xml:space="preserve">Email: </w:t>
            </w:r>
            <w:hyperlink r:id="rId6" w:history="1">
              <w:r w:rsidRPr="00C379C8">
                <w:rPr>
                  <w:color w:val="0000FF"/>
                  <w:u w:val="single"/>
                </w:rPr>
                <w:t>cdrr@fda.gov.ph</w:t>
              </w:r>
            </w:hyperlink>
            <w:r w:rsidRPr="00C379C8">
              <w:t xml:space="preserve">, </w:t>
            </w:r>
            <w:hyperlink r:id="rId7" w:history="1">
              <w:r w:rsidRPr="00C379C8">
                <w:rPr>
                  <w:color w:val="0000FF"/>
                  <w:u w:val="single"/>
                </w:rPr>
                <w:t>cdrr.sds@fda.gov.ph</w:t>
              </w:r>
            </w:hyperlink>
          </w:p>
          <w:p w:rsidR="00EE3A11" w:rsidRPr="00C379C8" w:rsidP="000C3B6C" w14:paraId="5B6CC742" w14:textId="77777777">
            <w:pPr>
              <w:spacing w:after="120"/>
            </w:pPr>
            <w:r w:rsidRPr="00C379C8">
              <w:t>www.fda.gov.ph</w:t>
            </w:r>
          </w:p>
        </w:tc>
      </w:tr>
      <w:tr w14:paraId="3ACD9062" w14:textId="77777777" w:rsidTr="00DB13FE">
        <w:tblPrEx>
          <w:tblW w:w="5000" w:type="pct"/>
          <w:tblLayout w:type="fixed"/>
          <w:tblLook w:val="0000"/>
        </w:tblPrEx>
        <w:tc>
          <w:tcPr>
            <w:tcW w:w="607" w:type="dxa"/>
          </w:tcPr>
          <w:p w:rsidR="00F85C99" w:rsidRPr="002F6A28" w:rsidP="002F6A28" w14:paraId="63BEA0DD" w14:textId="77777777">
            <w:pPr>
              <w:spacing w:before="120" w:after="120"/>
              <w:jc w:val="left"/>
              <w:rPr>
                <w:b/>
              </w:rPr>
            </w:pPr>
            <w:r w:rsidRPr="002F6A28">
              <w:rPr>
                <w:b/>
              </w:rPr>
              <w:t>3.</w:t>
            </w:r>
          </w:p>
        </w:tc>
        <w:tc>
          <w:tcPr>
            <w:tcW w:w="8373" w:type="dxa"/>
          </w:tcPr>
          <w:p w:rsidR="00F85C99" w:rsidRPr="0058336F" w:rsidP="002F6A28" w14:paraId="232E1AF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48AD8FE" w14:textId="77777777" w:rsidTr="00DB13FE">
        <w:tblPrEx>
          <w:tblW w:w="5000" w:type="pct"/>
          <w:tblLayout w:type="fixed"/>
          <w:tblLook w:val="0000"/>
        </w:tblPrEx>
        <w:tc>
          <w:tcPr>
            <w:tcW w:w="607" w:type="dxa"/>
          </w:tcPr>
          <w:p w:rsidR="00F85C99" w:rsidRPr="002F6A28" w:rsidP="002F6A28" w14:paraId="7B28D5D7" w14:textId="77777777">
            <w:pPr>
              <w:spacing w:before="120" w:after="120"/>
              <w:jc w:val="left"/>
            </w:pPr>
            <w:r w:rsidRPr="002F6A28">
              <w:rPr>
                <w:b/>
              </w:rPr>
              <w:t>4.</w:t>
            </w:r>
          </w:p>
        </w:tc>
        <w:tc>
          <w:tcPr>
            <w:tcW w:w="8373" w:type="dxa"/>
          </w:tcPr>
          <w:p w:rsidR="00F85C99" w:rsidRPr="002F6A28" w:rsidP="002F6A28" w14:paraId="68A09BE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Pharmaceutics (ICS code(s): 11.120)</w:t>
            </w:r>
          </w:p>
        </w:tc>
      </w:tr>
      <w:tr w14:paraId="137BF53F" w14:textId="77777777" w:rsidTr="00DB13FE">
        <w:tblPrEx>
          <w:tblW w:w="5000" w:type="pct"/>
          <w:tblLayout w:type="fixed"/>
          <w:tblLook w:val="0000"/>
        </w:tblPrEx>
        <w:tc>
          <w:tcPr>
            <w:tcW w:w="607" w:type="dxa"/>
          </w:tcPr>
          <w:p w:rsidR="00F85C99" w:rsidRPr="002F6A28" w:rsidP="002F6A28" w14:paraId="0DB378D2" w14:textId="77777777">
            <w:pPr>
              <w:spacing w:before="120" w:after="120"/>
              <w:jc w:val="left"/>
            </w:pPr>
            <w:r w:rsidRPr="002F6A28">
              <w:rPr>
                <w:b/>
              </w:rPr>
              <w:t>5.</w:t>
            </w:r>
          </w:p>
        </w:tc>
        <w:tc>
          <w:tcPr>
            <w:tcW w:w="8373" w:type="dxa"/>
          </w:tcPr>
          <w:p w:rsidR="00F85C99" w:rsidP="002F6A28" w14:paraId="392EBD2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Content of License to Operate (LTO) issued by the Food and Drug Administration for Pharmaceutical Establishments; (4 page(s), in English)</w:t>
            </w:r>
          </w:p>
          <w:p w:rsidR="000C3B6C" w:rsidRPr="000C3B6C" w:rsidP="002F6A28" w14:paraId="511C134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F0D9E" w:rsidRPr="00CE6C29" w:rsidP="002F6A28" w14:paraId="3D1B8F63"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https://members.wto.org/crnattachments/2026/TBT/PHL/26_01947_00_e.pdf</w:t>
              </w:r>
            </w:hyperlink>
          </w:p>
          <w:p w:rsidR="009F0D9E" w:rsidRPr="00CE6C29" w:rsidP="002F6A28" w14:paraId="65589C95" w14:textId="77777777">
            <w:pPr>
              <w:spacing w:after="120"/>
              <w:rPr>
                <w:iCs/>
              </w:rPr>
            </w:pPr>
            <w:hyperlink r:id="rId9" w:tgtFrame="_blank" w:history="1">
              <w:r w:rsidRPr="00CE6C29">
                <w:rPr>
                  <w:iCs/>
                  <w:color w:val="0000FF"/>
                  <w:u w:val="single"/>
                </w:rPr>
                <w:t>https://www.fda.gov.ph/draft-for-comments-content-of-license-to-operate-lto-issued-by-the-food-and-drug-administration-for-pharmaceutical-establishments/</w:t>
              </w:r>
            </w:hyperlink>
          </w:p>
        </w:tc>
      </w:tr>
      <w:tr w14:paraId="6B0E019E" w14:textId="77777777" w:rsidTr="00DB13FE">
        <w:tblPrEx>
          <w:tblW w:w="5000" w:type="pct"/>
          <w:tblLayout w:type="fixed"/>
          <w:tblLook w:val="0000"/>
        </w:tblPrEx>
        <w:tc>
          <w:tcPr>
            <w:tcW w:w="607" w:type="dxa"/>
          </w:tcPr>
          <w:p w:rsidR="00F85C99" w:rsidRPr="002F6A28" w:rsidP="002F6A28" w14:paraId="157C21B2" w14:textId="77777777">
            <w:pPr>
              <w:spacing w:before="120" w:after="120"/>
              <w:jc w:val="left"/>
              <w:rPr>
                <w:b/>
              </w:rPr>
            </w:pPr>
            <w:r w:rsidRPr="002F6A28">
              <w:rPr>
                <w:b/>
              </w:rPr>
              <w:t>6.</w:t>
            </w:r>
          </w:p>
        </w:tc>
        <w:tc>
          <w:tcPr>
            <w:tcW w:w="8373" w:type="dxa"/>
          </w:tcPr>
          <w:p w:rsidR="00F85C99" w:rsidRPr="002F6A28" w:rsidP="002F6A28" w14:paraId="562558CB" w14:textId="77777777">
            <w:pPr>
              <w:spacing w:before="120" w:after="120"/>
              <w:rPr>
                <w:b/>
              </w:rPr>
            </w:pPr>
            <w:r w:rsidRPr="002F6A28">
              <w:rPr>
                <w:b/>
              </w:rPr>
              <w:t>Description of content:</w:t>
            </w:r>
            <w:r w:rsidRPr="00C379C8" w:rsidR="00FE448B">
              <w:t xml:space="preserve"> Pursuant to Administrative Order (A.O.) No. 2024-0015, </w:t>
            </w:r>
            <w:r w:rsidRPr="00C379C8" w:rsidR="00FE448B">
              <w:rPr>
                <w:i/>
                <w:iCs/>
              </w:rPr>
              <w:t>"Prescribing the Rules, Requirements, and Procedures in the Application for License to Operate of Covered Health Product Establishments with the Food and Drug Administration, Repealing A.O. No. 2020-0017,"</w:t>
            </w:r>
            <w:r w:rsidRPr="00C379C8" w:rsidR="00FE448B">
              <w:t xml:space="preserve"> and as part of its commitment to continuous quality improvement, the Food and Drug Administration (FDA) continues to strengthen institutional efficiency through the implementation of a robust Quality Management System (QMS). This initiative supports the FDA's ongoing efforts to accede to the Pharmaceutical Inspection Co-operation Scheme (PIC/S) and be a World Health Organization (WHO) Listed Authority (WLA).</w:t>
            </w:r>
          </w:p>
          <w:p w:rsidR="00FE448B" w:rsidRPr="00C379C8" w:rsidP="002F6A28" w14:paraId="71CC4740" w14:textId="77777777">
            <w:pPr>
              <w:spacing w:before="120" w:after="120"/>
            </w:pPr>
            <w:r w:rsidRPr="00C379C8">
              <w:t>These international standards strongly recommend having a standardized format and content for authorizations on pharmaceutical manufacturing. By aligning as well the authorization issued for other regulated pharmaceutical establishments, the FDA ensures consistency, transparency, and proper monitoring across all issued licenses. This also facilitates compliance with internationally accepted practices and promotes ease of verification by both local and foreign regulatory bodies.</w:t>
            </w:r>
          </w:p>
          <w:p w:rsidR="00FE448B" w:rsidRPr="00C379C8" w:rsidP="002F6A28" w14:paraId="44D6447B" w14:textId="77777777">
            <w:pPr>
              <w:spacing w:before="120" w:after="120"/>
            </w:pPr>
            <w:r w:rsidRPr="00C379C8">
              <w:t>In line with these initiatives, the FDA issues this Circular to establish the contents of License to Operate (LTO) issued by the FDA for pharmaceutical establishments.</w:t>
            </w:r>
          </w:p>
        </w:tc>
      </w:tr>
      <w:tr w14:paraId="2578E7C0" w14:textId="77777777" w:rsidTr="00DB13FE">
        <w:tblPrEx>
          <w:tblW w:w="5000" w:type="pct"/>
          <w:tblLayout w:type="fixed"/>
          <w:tblLook w:val="0000"/>
        </w:tblPrEx>
        <w:tc>
          <w:tcPr>
            <w:tcW w:w="607" w:type="dxa"/>
          </w:tcPr>
          <w:p w:rsidR="00F85C99" w:rsidRPr="002F6A28" w:rsidP="002F6A28" w14:paraId="1360E98F" w14:textId="77777777">
            <w:pPr>
              <w:spacing w:before="120" w:after="120"/>
              <w:jc w:val="left"/>
              <w:rPr>
                <w:b/>
              </w:rPr>
            </w:pPr>
            <w:r w:rsidRPr="002F6A28">
              <w:rPr>
                <w:b/>
              </w:rPr>
              <w:t>7.</w:t>
            </w:r>
          </w:p>
        </w:tc>
        <w:tc>
          <w:tcPr>
            <w:tcW w:w="8373" w:type="dxa"/>
          </w:tcPr>
          <w:p w:rsidR="00F85C99" w:rsidRPr="002F6A28" w:rsidP="002F6A28" w14:paraId="07ECE0CE" w14:textId="77777777">
            <w:pPr>
              <w:spacing w:before="120" w:after="120"/>
              <w:rPr>
                <w:b/>
              </w:rPr>
            </w:pPr>
            <w:r w:rsidRPr="002F6A28">
              <w:rPr>
                <w:b/>
              </w:rPr>
              <w:t>Objective and rationale, including the nature of urgent problems where applicable:</w:t>
            </w:r>
            <w:r w:rsidRPr="00C379C8" w:rsidR="00EE3A11">
              <w:t xml:space="preserve"> This Circular aims to establish a standardized and updated contents of License to Operate (LTO) of pharmaceutical establishments that reflects current regulatory requirements, improves the clarity and transparency of information indicated therein, and ensures compliance with A.O. No. 2024-0015 and related issuances.</w:t>
            </w:r>
          </w:p>
        </w:tc>
      </w:tr>
      <w:tr w14:paraId="2CF9B2FC" w14:textId="77777777" w:rsidTr="00DB13FE">
        <w:tblPrEx>
          <w:tblW w:w="5000" w:type="pct"/>
          <w:tblLayout w:type="fixed"/>
          <w:tblLook w:val="0000"/>
        </w:tblPrEx>
        <w:tc>
          <w:tcPr>
            <w:tcW w:w="607" w:type="dxa"/>
          </w:tcPr>
          <w:p w:rsidR="00F85C99" w:rsidRPr="002F6A28" w:rsidP="009E75ED" w14:paraId="2A5F6AF9" w14:textId="77777777">
            <w:pPr>
              <w:spacing w:before="120" w:after="120"/>
              <w:jc w:val="left"/>
              <w:rPr>
                <w:b/>
              </w:rPr>
            </w:pPr>
            <w:r w:rsidRPr="002F6A28">
              <w:rPr>
                <w:b/>
              </w:rPr>
              <w:t>8.</w:t>
            </w:r>
          </w:p>
        </w:tc>
        <w:tc>
          <w:tcPr>
            <w:tcW w:w="8373" w:type="dxa"/>
          </w:tcPr>
          <w:p w:rsidR="000C3B6C" w:rsidRPr="00EC00D2" w:rsidP="007F13E8" w14:paraId="29978B1B" w14:textId="77777777">
            <w:pPr>
              <w:spacing w:before="120" w:after="120"/>
              <w:rPr>
                <w:bCs/>
              </w:rPr>
            </w:pPr>
            <w:r w:rsidRPr="002F6A28">
              <w:rPr>
                <w:b/>
              </w:rPr>
              <w:t>Relevant documents:</w:t>
            </w:r>
            <w:r w:rsidRPr="002F6A28" w:rsidR="00EE3A11">
              <w:t xml:space="preserve"> </w:t>
            </w:r>
          </w:p>
          <w:p w:rsidR="00EE3A11" w:rsidRPr="002F6A28" w:rsidP="007F13E8" w14:paraId="35C04A93" w14:textId="77777777">
            <w:pPr>
              <w:spacing w:before="120" w:after="120"/>
            </w:pPr>
            <w:r w:rsidRPr="002F6A28">
              <w:t>Administrative Order (A.O.) No. 2024-0015</w:t>
            </w:r>
          </w:p>
        </w:tc>
      </w:tr>
      <w:tr w14:paraId="0E342E40" w14:textId="77777777" w:rsidTr="00DB13FE">
        <w:tblPrEx>
          <w:tblW w:w="5000" w:type="pct"/>
          <w:tblLayout w:type="fixed"/>
          <w:tblLook w:val="0000"/>
        </w:tblPrEx>
        <w:tc>
          <w:tcPr>
            <w:tcW w:w="607" w:type="dxa"/>
          </w:tcPr>
          <w:p w:rsidR="00EE3A11" w:rsidRPr="002F6A28" w:rsidP="002F6A28" w14:paraId="02542F43" w14:textId="77777777">
            <w:pPr>
              <w:spacing w:before="120" w:after="120"/>
              <w:jc w:val="left"/>
              <w:rPr>
                <w:b/>
              </w:rPr>
            </w:pPr>
            <w:r w:rsidRPr="002F6A28">
              <w:rPr>
                <w:b/>
              </w:rPr>
              <w:t>9.</w:t>
            </w:r>
          </w:p>
        </w:tc>
        <w:tc>
          <w:tcPr>
            <w:tcW w:w="8373" w:type="dxa"/>
          </w:tcPr>
          <w:p w:rsidR="00EE3A11" w:rsidRPr="002F6A28" w:rsidP="008953C4" w14:paraId="72A5DC47" w14:textId="77777777">
            <w:pPr>
              <w:spacing w:before="120" w:after="120"/>
            </w:pPr>
            <w:r w:rsidRPr="002F6A28">
              <w:rPr>
                <w:b/>
              </w:rPr>
              <w:t>Proposed date of adoption:</w:t>
            </w:r>
            <w:r w:rsidRPr="00C379C8">
              <w:t xml:space="preserve"> To be determined</w:t>
            </w:r>
          </w:p>
          <w:p w:rsidR="00EE3A11" w:rsidRPr="002F6A28" w:rsidP="008953C4" w14:paraId="60007FD0" w14:textId="77777777">
            <w:pPr>
              <w:spacing w:after="120"/>
            </w:pPr>
            <w:r w:rsidRPr="002F6A28">
              <w:rPr>
                <w:b/>
              </w:rPr>
              <w:t>Proposed date of entry into force:</w:t>
            </w:r>
            <w:r w:rsidRPr="00C379C8">
              <w:t xml:space="preserve"> To be determined</w:t>
            </w:r>
          </w:p>
        </w:tc>
      </w:tr>
      <w:tr w14:paraId="1E29AA9C" w14:textId="77777777" w:rsidTr="00DB13FE">
        <w:tblPrEx>
          <w:tblW w:w="5000" w:type="pct"/>
          <w:tblLayout w:type="fixed"/>
          <w:tblLook w:val="0000"/>
        </w:tblPrEx>
        <w:tc>
          <w:tcPr>
            <w:tcW w:w="607" w:type="dxa"/>
            <w:tcBorders>
              <w:bottom w:val="double" w:sz="4" w:space="0" w:color="auto"/>
            </w:tcBorders>
          </w:tcPr>
          <w:p w:rsidR="00F85C99" w:rsidRPr="002F6A28" w:rsidP="002F6A28" w14:paraId="02DEFF0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E9943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EE7ED6D" w14:textId="77777777">
            <w:pPr>
              <w:spacing w:before="120" w:after="120"/>
              <w:rPr>
                <w:bCs/>
              </w:rPr>
            </w:pPr>
            <w:r w:rsidRPr="002F6A28">
              <w:rPr>
                <w:b/>
              </w:rPr>
              <w:t>Final date for comments:</w:t>
            </w:r>
            <w:r w:rsidRPr="00C379C8" w:rsidR="00EE3A11">
              <w:t xml:space="preserve"> 24 April 2026</w:t>
            </w:r>
          </w:p>
          <w:p w:rsidR="000C3B6C" w:rsidRPr="00E3324D" w:rsidP="000C3B6C" w14:paraId="228C719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0EDDB5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0532C9" w14:textId="77777777">
            <w:r w:rsidRPr="00CE6C29">
              <w:t>Mr. Neil P. Catajay</w:t>
            </w:r>
          </w:p>
          <w:p w:rsidR="00CE6C29" w:rsidRPr="00CE6C29" w:rsidP="000C3B6C" w14:paraId="227A251C" w14:textId="77777777">
            <w:r w:rsidRPr="00CE6C29">
              <w:t>Director</w:t>
            </w:r>
          </w:p>
          <w:p w:rsidR="00CE6C29" w:rsidRPr="00CE6C29" w:rsidP="000C3B6C" w14:paraId="42EE6B2E" w14:textId="77777777">
            <w:r w:rsidRPr="00CE6C29">
              <w:t>Bureau of Philippine Standards</w:t>
            </w:r>
          </w:p>
          <w:p w:rsidR="00CE6C29" w:rsidRPr="00CE6C29" w:rsidP="000C3B6C" w14:paraId="4F928C8A" w14:textId="77777777">
            <w:r w:rsidRPr="00CE6C29">
              <w:t>Department of Trade and Industry</w:t>
            </w:r>
          </w:p>
          <w:p w:rsidR="00CE6C29" w:rsidRPr="00CE6C29" w:rsidP="000C3B6C" w14:paraId="44267940" w14:textId="77777777">
            <w:r w:rsidRPr="00CE6C29">
              <w:t>3F Trade and Industry Building</w:t>
            </w:r>
          </w:p>
          <w:p w:rsidR="00CE6C29" w:rsidRPr="00CE6C29" w:rsidP="000C3B6C" w14:paraId="13067467" w14:textId="77777777">
            <w:r w:rsidRPr="00CE6C29">
              <w:t>361 Sen. Gil Puyat Avenue</w:t>
            </w:r>
          </w:p>
          <w:p w:rsidR="00CE6C29" w:rsidRPr="00CE6C29" w:rsidP="000C3B6C" w14:paraId="79AC5953" w14:textId="77777777">
            <w:r w:rsidRPr="00CE6C29">
              <w:t>Makati City</w:t>
            </w:r>
          </w:p>
          <w:p w:rsidR="00CE6C29" w:rsidRPr="00CE6C29" w:rsidP="000C3B6C" w14:paraId="63EBB10C" w14:textId="77777777">
            <w:r w:rsidRPr="00CE6C29">
              <w:t>Philippines</w:t>
            </w:r>
          </w:p>
          <w:p w:rsidR="00CE6C29" w:rsidRPr="00CE6C29" w:rsidP="000C3B6C" w14:paraId="63F408C7" w14:textId="77777777">
            <w:r w:rsidRPr="00CE6C29">
              <w:t>1200</w:t>
            </w:r>
          </w:p>
          <w:p w:rsidR="00CE6C29" w:rsidRPr="00CE6C29" w:rsidP="000C3B6C" w14:paraId="240197F5" w14:textId="77777777">
            <w:r w:rsidRPr="00CE6C29">
              <w:t>Tel: (632) 751 4700; (632) 7913128</w:t>
            </w:r>
          </w:p>
          <w:p w:rsidR="00CE6C29" w:rsidRPr="00CE6C29" w:rsidP="000C3B6C" w14:paraId="6C2F476D" w14:textId="77777777">
            <w:r w:rsidRPr="00CE6C29">
              <w:t xml:space="preserve">Email: </w:t>
            </w:r>
            <w:hyperlink r:id="rId10" w:history="1">
              <w:r w:rsidRPr="00CE6C29">
                <w:rPr>
                  <w:color w:val="0000FF"/>
                  <w:u w:val="single"/>
                </w:rPr>
                <w:t>bps@dti.gov.ph</w:t>
              </w:r>
            </w:hyperlink>
          </w:p>
          <w:p w:rsidR="00CE6C29" w:rsidRPr="00CE6C29" w:rsidP="000C3B6C" w14:paraId="6CD40DFE" w14:textId="77777777">
            <w:pPr>
              <w:spacing w:after="120"/>
            </w:pPr>
            <w:r w:rsidRPr="00CE6C29">
              <w:t xml:space="preserve">Website: </w:t>
            </w:r>
            <w:hyperlink r:id="rId11" w:tgtFrame="_blank" w:history="1">
              <w:r w:rsidRPr="00CE6C29">
                <w:rPr>
                  <w:color w:val="0000FF"/>
                  <w:u w:val="single"/>
                </w:rPr>
                <w:t>http://www.bps.dti.gov.ph</w:t>
              </w:r>
            </w:hyperlink>
          </w:p>
        </w:tc>
      </w:tr>
    </w:tbl>
    <w:p w:rsidR="00EE3A11" w:rsidRPr="002F6A28" w:rsidP="00887259" w14:paraId="3F82D45A"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45257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4AAC8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27C50C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8C993B" w14:textId="77777777">
    <w:pPr>
      <w:pStyle w:val="Header"/>
      <w:pBdr>
        <w:bottom w:val="single" w:sz="4" w:space="1" w:color="auto"/>
      </w:pBdr>
      <w:tabs>
        <w:tab w:val="clear" w:pos="4513"/>
        <w:tab w:val="clear" w:pos="9027"/>
      </w:tabs>
      <w:jc w:val="center"/>
    </w:pPr>
    <w:r w:rsidRPr="002F6A28">
      <w:t>tbtSymbol</w:t>
    </w:r>
  </w:p>
  <w:p w:rsidR="009239F7" w:rsidRPr="002F6A28" w:rsidP="009239F7" w14:paraId="2BDF3232" w14:textId="77777777">
    <w:pPr>
      <w:pStyle w:val="Header"/>
      <w:pBdr>
        <w:bottom w:val="single" w:sz="4" w:space="1" w:color="auto"/>
      </w:pBdr>
      <w:tabs>
        <w:tab w:val="clear" w:pos="4513"/>
        <w:tab w:val="clear" w:pos="9027"/>
      </w:tabs>
      <w:jc w:val="center"/>
    </w:pPr>
  </w:p>
  <w:p w:rsidR="009239F7" w:rsidRPr="002F6A28" w:rsidP="009239F7" w14:paraId="2C955F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878D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4160F4" w14:textId="77777777">
    <w:pPr>
      <w:pStyle w:val="Header"/>
      <w:pBdr>
        <w:bottom w:val="single" w:sz="4" w:space="1" w:color="auto"/>
      </w:pBdr>
      <w:tabs>
        <w:tab w:val="clear" w:pos="4513"/>
        <w:tab w:val="clear" w:pos="9027"/>
      </w:tabs>
      <w:jc w:val="center"/>
    </w:pPr>
    <w:bookmarkStart w:id="0" w:name="spsSymbolHeader"/>
    <w:r w:rsidRPr="002F6A28">
      <w:t>G/TBT/N/PHL/365</w:t>
    </w:r>
    <w:bookmarkEnd w:id="0"/>
  </w:p>
  <w:p w:rsidR="009239F7" w:rsidRPr="002F6A28" w:rsidP="009239F7" w14:paraId="313160E2" w14:textId="77777777">
    <w:pPr>
      <w:pStyle w:val="Header"/>
      <w:pBdr>
        <w:bottom w:val="single" w:sz="4" w:space="1" w:color="auto"/>
      </w:pBdr>
      <w:tabs>
        <w:tab w:val="clear" w:pos="4513"/>
        <w:tab w:val="clear" w:pos="9027"/>
      </w:tabs>
      <w:jc w:val="center"/>
    </w:pPr>
  </w:p>
  <w:p w:rsidR="009239F7" w:rsidRPr="002F6A28" w:rsidP="009239F7" w14:paraId="4E5E9BB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E8783C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2F647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16C333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EF5DD16" w14:textId="77777777">
          <w:pPr>
            <w:jc w:val="right"/>
            <w:rPr>
              <w:b/>
              <w:color w:val="FF0000"/>
              <w:szCs w:val="16"/>
            </w:rPr>
          </w:pPr>
        </w:p>
      </w:tc>
    </w:tr>
    <w:bookmarkEnd w:id="1"/>
    <w:tr w14:paraId="611C91C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2F04E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8DBBE34" w14:textId="77777777">
          <w:pPr>
            <w:jc w:val="right"/>
            <w:rPr>
              <w:b/>
              <w:szCs w:val="16"/>
            </w:rPr>
          </w:pPr>
        </w:p>
      </w:tc>
    </w:tr>
    <w:tr w14:paraId="52FB55B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01164A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4FEB1B" w14:textId="77777777">
          <w:pPr>
            <w:jc w:val="right"/>
            <w:rPr>
              <w:b/>
              <w:szCs w:val="16"/>
            </w:rPr>
          </w:pPr>
          <w:bookmarkStart w:id="2" w:name="bmkSymbols"/>
          <w:r w:rsidRPr="002F6A28">
            <w:rPr>
              <w:b/>
              <w:szCs w:val="16"/>
            </w:rPr>
            <w:t>G/TBT/N/PHL/365</w:t>
          </w:r>
          <w:bookmarkEnd w:id="2"/>
        </w:p>
      </w:tc>
    </w:tr>
    <w:tr w14:paraId="0F80B11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14C87E" w14:textId="77777777"/>
      </w:tc>
      <w:tc>
        <w:tcPr>
          <w:tcW w:w="5448" w:type="dxa"/>
          <w:gridSpan w:val="2"/>
          <w:shd w:val="clear" w:color="auto" w:fill="FFFFFF"/>
          <w:tcMar>
            <w:left w:w="108" w:type="dxa"/>
            <w:right w:w="108" w:type="dxa"/>
          </w:tcMar>
          <w:vAlign w:val="center"/>
        </w:tcPr>
        <w:p w:rsidR="00ED54E0" w:rsidRPr="009239F7" w:rsidP="00B801E9" w14:paraId="2B5C5048" w14:textId="77777777">
          <w:pPr>
            <w:jc w:val="right"/>
            <w:rPr>
              <w:szCs w:val="16"/>
            </w:rPr>
          </w:pPr>
          <w:bookmarkStart w:id="3" w:name="spsDateDistribution"/>
          <w:bookmarkStart w:id="4" w:name="bmkDate"/>
          <w:r w:rsidRPr="009239F7">
            <w:rPr>
              <w:szCs w:val="16"/>
            </w:rPr>
            <w:t>8 April 2026</w:t>
          </w:r>
          <w:bookmarkEnd w:id="3"/>
          <w:bookmarkEnd w:id="4"/>
        </w:p>
      </w:tc>
    </w:tr>
    <w:tr w14:paraId="7EDCBFA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715F45A" w14:textId="77777777">
          <w:pPr>
            <w:jc w:val="left"/>
            <w:rPr>
              <w:b/>
            </w:rPr>
          </w:pPr>
          <w:bookmarkStart w:id="5" w:name="bmkSerial"/>
          <w:r>
            <w:rPr>
              <w:rFonts w:ascii="Verdana" w:eastAsia="Verdana" w:hAnsi="Verdana" w:cs="Verdana"/>
              <w:b w:val="0"/>
              <w:color w:val="FF0000"/>
              <w:sz w:val="18"/>
            </w:rPr>
            <w:t>(26-2737)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4C015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B1D6D5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5B20B7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A6FB91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2F995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950243">
    <w:abstractNumId w:val="9"/>
  </w:num>
  <w:num w:numId="2" w16cid:durableId="2139059463">
    <w:abstractNumId w:val="7"/>
  </w:num>
  <w:num w:numId="3" w16cid:durableId="184907443">
    <w:abstractNumId w:val="6"/>
  </w:num>
  <w:num w:numId="4" w16cid:durableId="1055082157">
    <w:abstractNumId w:val="5"/>
  </w:num>
  <w:num w:numId="5" w16cid:durableId="221869549">
    <w:abstractNumId w:val="4"/>
  </w:num>
  <w:num w:numId="6" w16cid:durableId="1490443878">
    <w:abstractNumId w:val="12"/>
  </w:num>
  <w:num w:numId="7" w16cid:durableId="2115319255">
    <w:abstractNumId w:val="11"/>
  </w:num>
  <w:num w:numId="8" w16cid:durableId="768084755">
    <w:abstractNumId w:val="10"/>
  </w:num>
  <w:num w:numId="9" w16cid:durableId="16753806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3075479">
    <w:abstractNumId w:val="13"/>
  </w:num>
  <w:num w:numId="11" w16cid:durableId="601379147">
    <w:abstractNumId w:val="8"/>
  </w:num>
  <w:num w:numId="12" w16cid:durableId="564100916">
    <w:abstractNumId w:val="3"/>
  </w:num>
  <w:num w:numId="13" w16cid:durableId="1903521019">
    <w:abstractNumId w:val="2"/>
  </w:num>
  <w:num w:numId="14" w16cid:durableId="1980304439">
    <w:abstractNumId w:val="1"/>
  </w:num>
  <w:num w:numId="15" w16cid:durableId="136821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7333"/>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5DDB"/>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0D9E"/>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F380B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ps@dti.gov.ph" TargetMode="External" /><Relationship Id="rId11" Type="http://schemas.openxmlformats.org/officeDocument/2006/relationships/hyperlink" Target="http://www.bps.dti.gov.p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drr@fda.gov.ph" TargetMode="External" /><Relationship Id="rId7" Type="http://schemas.openxmlformats.org/officeDocument/2006/relationships/hyperlink" Target="mailto:cdrr.sds@fda.gov.ph" TargetMode="External" /><Relationship Id="rId8" Type="http://schemas.openxmlformats.org/officeDocument/2006/relationships/hyperlink" Target="https://members.wto.org/crnattachments/2026/TBT/PHL/26_01947_00_e.pdf" TargetMode="External" /><Relationship Id="rId9" Type="http://schemas.openxmlformats.org/officeDocument/2006/relationships/hyperlink" Target="https://www.fda.gov.ph/draft-for-comments-content-of-license-to-operate-lto-issued-by-the-food-and-drug-administration-for-pharmaceutical-establishment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A70107D-9A4D-4064-BA14-03BFD95BE1E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2026-04-08T08:51:00Z</dcterms:created>
  <dcterms:modified xsi:type="dcterms:W3CDTF">2026-04-08T08:51:00Z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