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4630EE1F" w14:textId="77777777">
      <w:pPr>
        <w:pStyle w:val="Title"/>
      </w:pPr>
      <w:r w:rsidRPr="002F663C">
        <w:t>NOTIFICATION</w:t>
      </w:r>
    </w:p>
    <w:p w:rsidR="002F663C" w:rsidRPr="002F663C" w:rsidP="00DD3DD7" w14:paraId="5E2BF34D" w14:textId="77777777">
      <w:pPr>
        <w:pStyle w:val="Title3"/>
      </w:pPr>
      <w:r w:rsidRPr="002F663C">
        <w:t>Addendum</w:t>
      </w:r>
    </w:p>
    <w:p w:rsidR="002F663C" w:rsidP="001E2E4A" w14:paraId="5721BB38"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31 March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441842E9" w14:textId="77777777">
      <w:pPr>
        <w:rPr>
          <w:rFonts w:eastAsia="Calibri" w:cs="Times New Roman"/>
        </w:rPr>
      </w:pPr>
    </w:p>
    <w:p w:rsidR="002F663C" w:rsidRPr="002F663C" w:rsidP="002F663C" w14:paraId="71CBD03D" w14:textId="77777777">
      <w:pPr>
        <w:jc w:val="center"/>
        <w:rPr>
          <w:rFonts w:eastAsia="Calibri" w:cs="Times New Roman"/>
          <w:b/>
        </w:rPr>
      </w:pPr>
      <w:r w:rsidRPr="002F663C">
        <w:rPr>
          <w:rFonts w:eastAsia="Calibri" w:cs="Times New Roman"/>
          <w:b/>
        </w:rPr>
        <w:t>_______________</w:t>
      </w:r>
    </w:p>
    <w:p w:rsidR="002F663C" w:rsidP="002F663C" w14:paraId="3300AE12" w14:textId="77777777">
      <w:pPr>
        <w:rPr>
          <w:rFonts w:eastAsia="Calibri" w:cs="Times New Roman"/>
        </w:rPr>
      </w:pPr>
    </w:p>
    <w:p w:rsidR="00C14444" w:rsidRPr="002F663C" w:rsidP="002F663C" w14:paraId="3C22B065" w14:textId="77777777">
      <w:pPr>
        <w:rPr>
          <w:rFonts w:eastAsia="Calibri" w:cs="Times New Roman"/>
        </w:rPr>
      </w:pPr>
    </w:p>
    <w:p w:rsidR="002F663C" w:rsidRPr="002F663C" w:rsidP="002F663C" w14:paraId="19D5F3F3"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Energy Conservation Program: Energy Conservation Standards for Fluorescent Lamp Ballasts</w:t>
      </w:r>
    </w:p>
    <w:p w:rsidR="002F663C" w:rsidRPr="002F663C" w:rsidP="002F663C" w14:paraId="3FFC8246"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12C01E55"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551E9ED4"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5D93F0E4" w14:textId="77777777" w:rsidTr="00E9471B">
        <w:tblPrEx>
          <w:tblW w:w="9049" w:type="dxa"/>
          <w:tblLayout w:type="fixed"/>
          <w:tblLook w:val="04A0"/>
        </w:tblPrEx>
        <w:tc>
          <w:tcPr>
            <w:tcW w:w="851" w:type="dxa"/>
          </w:tcPr>
          <w:p w:rsidR="002F663C" w:rsidRPr="00711F9C" w:rsidP="00C14444" w14:paraId="6F586B42"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2E17AEA6"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0927F65B" w14:textId="77777777" w:rsidTr="00E9471B">
        <w:tblPrEx>
          <w:tblW w:w="9049" w:type="dxa"/>
          <w:tblLayout w:type="fixed"/>
          <w:tblLook w:val="04A0"/>
        </w:tblPrEx>
        <w:tc>
          <w:tcPr>
            <w:tcW w:w="851" w:type="dxa"/>
          </w:tcPr>
          <w:p w:rsidR="002F663C" w:rsidRPr="00711F9C" w:rsidP="00C14444" w14:paraId="0F8D4BD3"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AA28DD5"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106C0D68" w14:textId="77777777" w:rsidTr="00E9471B">
        <w:tblPrEx>
          <w:tblW w:w="9049" w:type="dxa"/>
          <w:tblLayout w:type="fixed"/>
          <w:tblLook w:val="04A0"/>
        </w:tblPrEx>
        <w:tc>
          <w:tcPr>
            <w:tcW w:w="851" w:type="dxa"/>
          </w:tcPr>
          <w:p w:rsidR="002F663C" w:rsidRPr="00711F9C" w:rsidP="00C14444" w14:paraId="5D22A998"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15D11053"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46DD8B7F" w14:textId="77777777" w:rsidTr="00E9471B">
        <w:tblPrEx>
          <w:tblW w:w="9049" w:type="dxa"/>
          <w:tblLayout w:type="fixed"/>
          <w:tblLook w:val="04A0"/>
        </w:tblPrEx>
        <w:tc>
          <w:tcPr>
            <w:tcW w:w="851" w:type="dxa"/>
          </w:tcPr>
          <w:p w:rsidR="002F663C" w:rsidRPr="00711F9C" w:rsidP="00C14444" w14:paraId="1C4B0CAD"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631FDAD"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3ED7D81A" w14:textId="77777777" w:rsidTr="00E9471B">
        <w:tblPrEx>
          <w:tblW w:w="9049" w:type="dxa"/>
          <w:tblLayout w:type="fixed"/>
          <w:tblLook w:val="04A0"/>
        </w:tblPrEx>
        <w:tc>
          <w:tcPr>
            <w:tcW w:w="851" w:type="dxa"/>
          </w:tcPr>
          <w:p w:rsidR="002F663C" w:rsidRPr="00711F9C" w:rsidP="00C14444" w14:paraId="3C3D6313"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1A0EA4E0"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7CC684DA" w14:textId="77777777" w:rsidTr="00E9471B">
        <w:tblPrEx>
          <w:tblW w:w="9049" w:type="dxa"/>
          <w:tblLayout w:type="fixed"/>
          <w:tblLook w:val="04A0"/>
        </w:tblPrEx>
        <w:tc>
          <w:tcPr>
            <w:tcW w:w="851" w:type="dxa"/>
          </w:tcPr>
          <w:p w:rsidR="002F663C" w:rsidRPr="00711F9C" w:rsidP="00C14444" w14:paraId="798A3628"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464C9F22"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0481A5E9"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1F97C859" w14:textId="77777777" w:rsidTr="00E9471B">
        <w:tblPrEx>
          <w:tblW w:w="9049" w:type="dxa"/>
          <w:tblLayout w:type="fixed"/>
          <w:tblLook w:val="04A0"/>
        </w:tblPrEx>
        <w:tc>
          <w:tcPr>
            <w:tcW w:w="851" w:type="dxa"/>
          </w:tcPr>
          <w:p w:rsidR="002F663C" w:rsidRPr="00711F9C" w:rsidP="00C14444" w14:paraId="66E39BA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44D72445"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0C97334D"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7FE73463" w14:textId="77777777" w:rsidTr="00E9471B">
        <w:tblPrEx>
          <w:tblW w:w="9049" w:type="dxa"/>
          <w:tblLayout w:type="fixed"/>
          <w:tblLook w:val="04A0"/>
        </w:tblPrEx>
        <w:tc>
          <w:tcPr>
            <w:tcW w:w="851" w:type="dxa"/>
          </w:tcPr>
          <w:p w:rsidR="002F663C" w:rsidRPr="00711F9C" w:rsidP="00C14444" w14:paraId="1CEDBABA"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6721347B"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096A162F" w14:textId="77777777" w:rsidTr="00E9471B">
        <w:tblPrEx>
          <w:tblW w:w="9049" w:type="dxa"/>
          <w:tblLayout w:type="fixed"/>
          <w:tblLook w:val="04A0"/>
        </w:tblPrEx>
        <w:tc>
          <w:tcPr>
            <w:tcW w:w="851" w:type="dxa"/>
            <w:tcBorders>
              <w:bottom w:val="double" w:sz="4" w:space="0" w:color="auto"/>
            </w:tcBorders>
          </w:tcPr>
          <w:p w:rsidR="002F663C" w:rsidRPr="00711F9C" w:rsidP="00C14444" w14:paraId="63D1B4C5"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tcBorders>
              <w:bottom w:val="double" w:sz="4" w:space="0" w:color="auto"/>
            </w:tcBorders>
          </w:tcPr>
          <w:p w:rsidR="002F663C" w:rsidRPr="002F663C" w:rsidP="00EB7B40" w14:paraId="7F10DEAD" w14:textId="77777777">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rsidR="00467A46" w:rsidP="00EB7B40" w14:paraId="453B8F61" w14:textId="77777777">
            <w:pPr>
              <w:spacing w:before="120" w:after="120"/>
              <w:rPr>
                <w:rFonts w:eastAsia="Calibri" w:cs="Times New Roman"/>
              </w:rPr>
            </w:pPr>
            <w:r>
              <w:rPr>
                <w:rFonts w:eastAsia="Calibri" w:cs="Times New Roman"/>
              </w:rPr>
              <w:t>Notification of proposed determination, request for comment by 1 June 2026, and announcement of webinar to be held on 22 April 2026</w:t>
            </w:r>
          </w:p>
          <w:p w:rsidR="00467A46" w:rsidP="00EB7B40" w14:paraId="18F851E2" w14:textId="77777777">
            <w:pPr>
              <w:spacing w:before="120" w:after="120"/>
              <w:rPr>
                <w:rFonts w:eastAsia="Calibri" w:cs="Times New Roman"/>
              </w:rPr>
            </w:pPr>
            <w:hyperlink r:id="rId6" w:tgtFrame="_blank" w:history="1">
              <w:r>
                <w:rPr>
                  <w:rFonts w:eastAsia="Calibri" w:cs="Times New Roman"/>
                  <w:color w:val="0000FF"/>
                  <w:u w:val="single"/>
                </w:rPr>
                <w:t>https://members.wto.org/crnattachments/2026/TBT/USA/26_01809_00_e.pdf</w:t>
              </w:r>
            </w:hyperlink>
          </w:p>
        </w:tc>
      </w:tr>
      <w:bookmarkEnd w:id="0"/>
    </w:tbl>
    <w:p w:rsidR="002F663C" w:rsidRPr="002F663C" w:rsidP="002F663C" w14:paraId="45E1BCB3" w14:textId="77777777">
      <w:pPr>
        <w:jc w:val="left"/>
        <w:rPr>
          <w:rFonts w:eastAsia="Calibri" w:cs="Times New Roman"/>
          <w:highlight w:val="yellow"/>
        </w:rPr>
      </w:pPr>
    </w:p>
    <w:p w:rsidR="003971FF" w:rsidRPr="007F6EA2" w:rsidP="00B16ACF" w14:paraId="0010FEA4"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The Energy Policy and Conservation Act, as amended ("</w:t>
      </w:r>
      <w:hyperlink r:id="rId7" w:history="1">
        <w:r w:rsidRPr="002F663C">
          <w:rPr>
            <w:rFonts w:eastAsia="Calibri" w:cs="Times New Roman"/>
            <w:color w:val="0000FF"/>
            <w:szCs w:val="18"/>
            <w:u w:val="single"/>
          </w:rPr>
          <w:t>EPCA</w:t>
        </w:r>
      </w:hyperlink>
      <w:r w:rsidRPr="002F663C">
        <w:rPr>
          <w:rFonts w:eastAsia="Calibri" w:cs="Times New Roman"/>
          <w:szCs w:val="18"/>
        </w:rPr>
        <w:t>''), prescribes energy conservation standards for various consumer products and certain commercial and industrial equipment, including fluorescent lamp ballasts ("</w:t>
      </w:r>
      <w:hyperlink r:id="rId8" w:history="1">
        <w:r w:rsidRPr="002F663C">
          <w:rPr>
            <w:rFonts w:eastAsia="Calibri" w:cs="Times New Roman"/>
            <w:color w:val="0000FF"/>
            <w:szCs w:val="18"/>
            <w:u w:val="single"/>
          </w:rPr>
          <w:t>FLBs</w:t>
        </w:r>
      </w:hyperlink>
      <w:r w:rsidRPr="002F663C">
        <w:rPr>
          <w:rFonts w:eastAsia="Calibri" w:cs="Times New Roman"/>
          <w:szCs w:val="18"/>
        </w:rPr>
        <w:t>''). EPCA also requires the U.S. Department of Energy ("DOE'') to periodically review its existing standards to determine whether more-stringent standards would be technologically feasible and economically justified, and would result in significant energy savings. In this notification of proposed determination ("NOPD''), DOE has initially determined that amended energy conservation standards for fluorescent lamp ballasts would not be cost- effective, and therefore, DOE has tentatively determined that energy</w:t>
      </w:r>
      <w:r w:rsidRPr="002F663C">
        <w:rPr>
          <w:rFonts w:eastAsia="Calibri" w:cs="Times New Roman"/>
          <w:szCs w:val="18"/>
        </w:rPr>
        <w:t xml:space="preserve"> conservation standards for FLBs should not be amended. DOE requests comment on this proposed determination and the associated analyses and results.</w:t>
      </w:r>
    </w:p>
    <w:p w:rsidR="007E3A17" w:rsidRPr="002F663C" w:rsidP="00B16ACF" w14:paraId="2705845D" w14:textId="77777777">
      <w:pPr>
        <w:spacing w:before="120" w:after="120"/>
        <w:rPr>
          <w:rFonts w:eastAsia="Calibri" w:cs="Times New Roman"/>
          <w:szCs w:val="18"/>
        </w:rPr>
      </w:pPr>
      <w:r w:rsidRPr="002F663C">
        <w:rPr>
          <w:rFonts w:eastAsia="Calibri" w:cs="Times New Roman"/>
          <w:szCs w:val="18"/>
        </w:rPr>
        <w:t>Written comments, data, and information are requested on all aspects of this NOPD and will be accepted on or before 1 June 2026.</w:t>
      </w:r>
    </w:p>
    <w:p w:rsidR="007E3A17" w:rsidRPr="002F663C" w:rsidP="00B16ACF" w14:paraId="19B3B2C3" w14:textId="77777777">
      <w:pPr>
        <w:spacing w:before="120" w:after="120"/>
        <w:rPr>
          <w:rFonts w:eastAsia="Calibri" w:cs="Times New Roman"/>
          <w:szCs w:val="18"/>
        </w:rPr>
      </w:pPr>
      <w:r w:rsidRPr="002F663C">
        <w:rPr>
          <w:rFonts w:eastAsia="Calibri" w:cs="Times New Roman"/>
          <w:szCs w:val="18"/>
        </w:rPr>
        <w:t xml:space="preserve">DOE will hold a </w:t>
      </w:r>
      <w:hyperlink r:id="rId9" w:history="1">
        <w:r w:rsidRPr="002F663C">
          <w:rPr>
            <w:rFonts w:eastAsia="Calibri" w:cs="Times New Roman"/>
            <w:color w:val="0000FF"/>
            <w:szCs w:val="18"/>
            <w:u w:val="single"/>
          </w:rPr>
          <w:t>public meeting webinar</w:t>
        </w:r>
      </w:hyperlink>
      <w:r w:rsidRPr="002F663C">
        <w:rPr>
          <w:rFonts w:eastAsia="Calibri" w:cs="Times New Roman"/>
          <w:szCs w:val="18"/>
        </w:rPr>
        <w:t xml:space="preserve"> on Wednesday, 22 April 2026 from </w:t>
      </w:r>
      <w:hyperlink r:id="rId10" w:history="1">
        <w:r w:rsidRPr="002F663C">
          <w:rPr>
            <w:rFonts w:eastAsia="Calibri" w:cs="Times New Roman"/>
            <w:color w:val="0000FF"/>
            <w:szCs w:val="18"/>
            <w:u w:val="single"/>
          </w:rPr>
          <w:t>1:00 p.m. - 3:00 p.m.</w:t>
        </w:r>
      </w:hyperlink>
      <w:r w:rsidRPr="002F663C">
        <w:rPr>
          <w:rFonts w:eastAsia="Calibri" w:cs="Times New Roman"/>
          <w:szCs w:val="18"/>
        </w:rPr>
        <w:t xml:space="preserve"> </w:t>
      </w:r>
      <w:hyperlink r:id="rId11" w:history="1">
        <w:r w:rsidRPr="002F663C">
          <w:rPr>
            <w:rFonts w:eastAsia="Calibri" w:cs="Times New Roman"/>
            <w:color w:val="0000FF"/>
            <w:szCs w:val="18"/>
            <w:u w:val="single"/>
          </w:rPr>
          <w:t>Eastern Standard Time (EST)</w:t>
        </w:r>
      </w:hyperlink>
      <w:r w:rsidRPr="002F663C">
        <w:rPr>
          <w:rFonts w:eastAsia="Calibri" w:cs="Times New Roman"/>
          <w:szCs w:val="18"/>
        </w:rPr>
        <w:t xml:space="preserve">. Webinar registration information, participant instructions, and information about the capabilities available to webinar participants will be published on DOE's website: </w:t>
      </w:r>
      <w:hyperlink r:id="rId12" w:history="1">
        <w:r w:rsidRPr="002F663C">
          <w:rPr>
            <w:rFonts w:eastAsia="Calibri" w:cs="Times New Roman"/>
            <w:color w:val="0000FF"/>
            <w:szCs w:val="18"/>
            <w:u w:val="single"/>
          </w:rPr>
          <w:t>www1.eere.energy.gov/buildings/appliance_standards/standards.aspx?productid=3</w:t>
        </w:r>
      </w:hyperlink>
      <w:r w:rsidRPr="002F663C">
        <w:rPr>
          <w:rFonts w:eastAsia="Calibri" w:cs="Times New Roman"/>
          <w:szCs w:val="18"/>
        </w:rPr>
        <w:t>. See section VI, "Public Participation,'' for additional information.</w:t>
      </w:r>
    </w:p>
    <w:p w:rsidR="007E3A17" w:rsidRPr="002F663C" w:rsidP="00B16ACF" w14:paraId="1DDDB530" w14:textId="77777777">
      <w:pPr>
        <w:spacing w:before="120" w:after="120"/>
        <w:rPr>
          <w:rFonts w:eastAsia="Calibri" w:cs="Times New Roman"/>
          <w:szCs w:val="18"/>
        </w:rPr>
      </w:pPr>
      <w:r w:rsidRPr="002F663C">
        <w:rPr>
          <w:rFonts w:eastAsia="Calibri" w:cs="Times New Roman"/>
          <w:szCs w:val="18"/>
        </w:rPr>
        <w:t xml:space="preserve">91 Federal Register (FR) 15917, 31 March 2026; </w:t>
      </w:r>
      <w:hyperlink r:id="rId13" w:history="1">
        <w:r w:rsidRPr="002F663C">
          <w:rPr>
            <w:rFonts w:eastAsia="Calibri" w:cs="Times New Roman"/>
            <w:color w:val="0000FF"/>
            <w:szCs w:val="18"/>
            <w:u w:val="single"/>
          </w:rPr>
          <w:t>Title 10 Code of Federal Regulations (CFR) Part 430</w:t>
        </w:r>
      </w:hyperlink>
      <w:r w:rsidRPr="002F663C">
        <w:rPr>
          <w:rFonts w:eastAsia="Calibri" w:cs="Times New Roman"/>
          <w:szCs w:val="18"/>
        </w:rPr>
        <w:t>:</w:t>
      </w:r>
    </w:p>
    <w:p w:rsidR="007E3A17" w:rsidRPr="002F663C" w:rsidP="00B16ACF" w14:paraId="5D7CBDD0" w14:textId="77777777">
      <w:pPr>
        <w:spacing w:before="120" w:after="120"/>
        <w:rPr>
          <w:rFonts w:eastAsia="Calibri" w:cs="Times New Roman"/>
          <w:szCs w:val="18"/>
        </w:rPr>
      </w:pPr>
      <w:hyperlink r:id="rId14" w:history="1">
        <w:r w:rsidRPr="002F663C">
          <w:rPr>
            <w:rFonts w:eastAsia="Calibri" w:cs="Times New Roman"/>
            <w:color w:val="0000FF"/>
            <w:szCs w:val="18"/>
            <w:u w:val="single"/>
          </w:rPr>
          <w:t>https://www.govinfo.gov/content/pkg/FR-2026-03-31/html/2026-06177.htm</w:t>
        </w:r>
      </w:hyperlink>
    </w:p>
    <w:p w:rsidR="007E3A17" w:rsidRPr="002F663C" w:rsidP="00B16ACF" w14:paraId="158ACA6D" w14:textId="77777777">
      <w:pPr>
        <w:spacing w:before="120" w:after="120"/>
        <w:rPr>
          <w:rFonts w:eastAsia="Calibri" w:cs="Times New Roman"/>
          <w:szCs w:val="18"/>
        </w:rPr>
      </w:pPr>
      <w:hyperlink r:id="rId15" w:history="1">
        <w:r w:rsidRPr="002F663C">
          <w:rPr>
            <w:rFonts w:eastAsia="Calibri" w:cs="Times New Roman"/>
            <w:color w:val="0000FF"/>
            <w:szCs w:val="18"/>
            <w:u w:val="single"/>
          </w:rPr>
          <w:t>https://www.govinfo.gov/content/pkg/FR-2026-03-31/pdf/2026-06177.pdf</w:t>
        </w:r>
      </w:hyperlink>
    </w:p>
    <w:p w:rsidR="007E3A17" w:rsidRPr="002F663C" w:rsidP="00B16ACF" w14:paraId="088486BA" w14:textId="77777777">
      <w:pPr>
        <w:spacing w:before="120" w:after="120"/>
        <w:rPr>
          <w:rFonts w:eastAsia="Calibri" w:cs="Times New Roman"/>
          <w:szCs w:val="18"/>
        </w:rPr>
      </w:pPr>
      <w:r w:rsidRPr="002F663C">
        <w:rPr>
          <w:rFonts w:eastAsia="Calibri" w:cs="Times New Roman"/>
          <w:szCs w:val="18"/>
        </w:rPr>
        <w:t xml:space="preserve">This notification of proposed determination, request for comment, and announcement of webinar is identified by Docket Number EERE-2023-BT-STD-0005. The Docket Folder is available on Regulations.gov at </w:t>
      </w:r>
      <w:hyperlink r:id="rId16" w:history="1">
        <w:r w:rsidRPr="002F663C">
          <w:rPr>
            <w:rFonts w:eastAsia="Calibri" w:cs="Times New Roman"/>
            <w:color w:val="0000FF"/>
            <w:szCs w:val="18"/>
            <w:u w:val="single"/>
          </w:rPr>
          <w:t>https://www.regulations.gov/docket/EERE-2023-BT-STD-0005/document</w:t>
        </w:r>
      </w:hyperlink>
      <w:r w:rsidRPr="002F663C">
        <w:rPr>
          <w:rFonts w:eastAsia="Calibri" w:cs="Times New Roman"/>
          <w:szCs w:val="18"/>
        </w:rPr>
        <w:t xml:space="preserve"> and provides access to primary and supporting documents as well as comments received. Documents are also accessible from </w:t>
      </w:r>
      <w:hyperlink r:id="rId17"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WTO Members and their stakeholders are asked to submit comments to the </w:t>
      </w:r>
      <w:hyperlink r:id="rId18" w:history="1">
        <w:r w:rsidRPr="002F663C">
          <w:rPr>
            <w:rFonts w:eastAsia="Calibri" w:cs="Times New Roman"/>
            <w:color w:val="0000FF"/>
            <w:szCs w:val="18"/>
            <w:u w:val="single"/>
          </w:rPr>
          <w:t>USA TBT Enquiry Point</w:t>
        </w:r>
      </w:hyperlink>
      <w:r w:rsidRPr="002F663C">
        <w:rPr>
          <w:rFonts w:eastAsia="Calibri" w:cs="Times New Roman"/>
          <w:szCs w:val="18"/>
        </w:rPr>
        <w:t xml:space="preserve">. Comments received by the USA TBT Enquiry Point from WTO Members and their stakeholders by </w:t>
      </w:r>
      <w:hyperlink r:id="rId10"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19" w:history="1">
        <w:r w:rsidRPr="002F663C">
          <w:rPr>
            <w:rFonts w:eastAsia="Calibri" w:cs="Times New Roman"/>
            <w:color w:val="0000FF"/>
            <w:szCs w:val="18"/>
            <w:u w:val="single"/>
          </w:rPr>
          <w:t>Eastern Time</w:t>
        </w:r>
      </w:hyperlink>
      <w:r w:rsidRPr="002F663C">
        <w:rPr>
          <w:rFonts w:eastAsia="Calibri" w:cs="Times New Roman"/>
          <w:szCs w:val="18"/>
        </w:rPr>
        <w:t xml:space="preserve"> on 31 March 2026 will be shared with the regulator and will also be submitted to the </w:t>
      </w:r>
      <w:hyperlink r:id="rId16" w:history="1">
        <w:r w:rsidRPr="002F663C">
          <w:rPr>
            <w:rFonts w:eastAsia="Calibri" w:cs="Times New Roman"/>
            <w:color w:val="0000FF"/>
            <w:szCs w:val="18"/>
            <w:u w:val="single"/>
          </w:rPr>
          <w:t>Docket</w:t>
        </w:r>
      </w:hyperlink>
      <w:r w:rsidRPr="002F663C">
        <w:rPr>
          <w:rFonts w:eastAsia="Calibri" w:cs="Times New Roman"/>
          <w:szCs w:val="18"/>
        </w:rPr>
        <w:t xml:space="preserve"> on Regulations.gov if received within the comment period.</w:t>
      </w:r>
    </w:p>
    <w:p w:rsidR="007E3A17" w:rsidRPr="002F663C" w:rsidP="00B16ACF" w14:paraId="5F3139DA" w14:textId="77777777">
      <w:pPr>
        <w:spacing w:before="120" w:after="120"/>
        <w:rPr>
          <w:rFonts w:eastAsia="Calibri" w:cs="Times New Roman"/>
          <w:szCs w:val="18"/>
        </w:rPr>
      </w:pPr>
      <w:r w:rsidRPr="002F663C">
        <w:rPr>
          <w:rFonts w:eastAsia="Calibri" w:cs="Times New Roman"/>
          <w:szCs w:val="18"/>
        </w:rPr>
        <w:t xml:space="preserve">Previous actions notified under the symbol </w:t>
      </w:r>
      <w:hyperlink r:id="rId20" w:history="1">
        <w:r w:rsidRPr="002F663C">
          <w:rPr>
            <w:rFonts w:eastAsia="Calibri" w:cs="Times New Roman"/>
            <w:color w:val="0000FF"/>
            <w:szCs w:val="18"/>
            <w:u w:val="single"/>
          </w:rPr>
          <w:t>G/TBT/N/USA/624</w:t>
        </w:r>
      </w:hyperlink>
      <w:r w:rsidRPr="002F663C">
        <w:rPr>
          <w:rFonts w:eastAsia="Calibri" w:cs="Times New Roman"/>
          <w:szCs w:val="18"/>
        </w:rPr>
        <w:t xml:space="preserve"> are identified by Docket Numbers </w:t>
      </w:r>
      <w:hyperlink r:id="rId21" w:history="1">
        <w:r w:rsidRPr="002F663C">
          <w:rPr>
            <w:rFonts w:eastAsia="Calibri" w:cs="Times New Roman"/>
            <w:color w:val="0000FF"/>
            <w:szCs w:val="18"/>
            <w:u w:val="single"/>
          </w:rPr>
          <w:t>EERE-2007-BT-STD-0016</w:t>
        </w:r>
      </w:hyperlink>
      <w:r w:rsidRPr="002F663C">
        <w:rPr>
          <w:rFonts w:eastAsia="Calibri" w:cs="Times New Roman"/>
          <w:szCs w:val="18"/>
        </w:rPr>
        <w:t xml:space="preserve"> (Cross Reference Docket ID </w:t>
      </w:r>
      <w:hyperlink r:id="rId22" w:history="1">
        <w:r w:rsidRPr="002F663C">
          <w:rPr>
            <w:rFonts w:eastAsia="Calibri" w:cs="Times New Roman"/>
            <w:color w:val="0000FF"/>
            <w:szCs w:val="18"/>
            <w:u w:val="single"/>
          </w:rPr>
          <w:t>EERE-2008-BT-TP-0007</w:t>
        </w:r>
      </w:hyperlink>
      <w:r w:rsidRPr="002F663C">
        <w:rPr>
          <w:rFonts w:eastAsia="Calibri" w:cs="Times New Roman"/>
          <w:szCs w:val="18"/>
        </w:rPr>
        <w:t xml:space="preserve">), </w:t>
      </w:r>
      <w:hyperlink r:id="rId23" w:history="1">
        <w:r w:rsidRPr="002F663C">
          <w:rPr>
            <w:rFonts w:eastAsia="Calibri" w:cs="Times New Roman"/>
            <w:color w:val="0000FF"/>
            <w:szCs w:val="18"/>
            <w:u w:val="single"/>
          </w:rPr>
          <w:t>EERE-2015-BT-STD-0006</w:t>
        </w:r>
      </w:hyperlink>
      <w:r w:rsidRPr="002F663C">
        <w:rPr>
          <w:rFonts w:eastAsia="Calibri" w:cs="Times New Roman"/>
          <w:szCs w:val="18"/>
        </w:rPr>
        <w:t xml:space="preserve"> and </w:t>
      </w:r>
      <w:hyperlink r:id="rId16" w:history="1">
        <w:r w:rsidRPr="002F663C">
          <w:rPr>
            <w:rFonts w:eastAsia="Calibri" w:cs="Times New Roman"/>
            <w:color w:val="0000FF"/>
            <w:szCs w:val="18"/>
            <w:u w:val="single"/>
          </w:rPr>
          <w:t>EERE-2023-BT-STD-0005</w:t>
        </w:r>
      </w:hyperlink>
      <w:r w:rsidRPr="002F663C">
        <w:rPr>
          <w:rFonts w:eastAsia="Calibri" w:cs="Times New Roman"/>
          <w:szCs w:val="18"/>
        </w:rPr>
        <w:t xml:space="preserve">. The Docket Folders are available on Regulations.gov and provide access to primary and supporting documents as well as comments received. Documents are also accessible from </w:t>
      </w:r>
      <w:hyperlink r:id="rId17"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rsidR="006C5A96" w:rsidP="006C5A96" w14:paraId="7E854771" w14:textId="77777777">
      <w:pPr>
        <w:jc w:val="center"/>
        <w:rPr>
          <w:b/>
        </w:rPr>
      </w:pPr>
      <w:r w:rsidRPr="003971FF">
        <w:rPr>
          <w:b/>
        </w:rPr>
        <w:t>__________</w:t>
      </w:r>
    </w:p>
    <w:p w:rsidR="004D4D19" w:rsidP="007F38C2" w14:paraId="5A12C5CA" w14:textId="77777777">
      <w:pPr>
        <w:jc w:val="center"/>
        <w:rPr>
          <w:b/>
        </w:rPr>
      </w:pPr>
    </w:p>
    <w:p w:rsidR="00A1565D" w:rsidP="003971FF" w14:paraId="1D3ACD72" w14:textId="77777777">
      <w:pPr>
        <w:jc w:val="center"/>
        <w:rPr>
          <w:b/>
        </w:rPr>
      </w:pPr>
    </w:p>
    <w:sectPr w:rsidSect="006C5A96">
      <w:headerReference w:type="even" r:id="rId24"/>
      <w:headerReference w:type="default" r:id="rId25"/>
      <w:footerReference w:type="even" r:id="rId26"/>
      <w:footerReference w:type="default" r:id="rId27"/>
      <w:headerReference w:type="first" r:id="rId28"/>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D340605"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2026180"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33CF4FFD" w14:textId="77777777">
      <w:r>
        <w:separator/>
      </w:r>
    </w:p>
  </w:footnote>
  <w:footnote w:type="continuationSeparator" w:id="1">
    <w:p w:rsidR="004D3A6A" w:rsidP="00ED54E0" w14:paraId="2ED01603" w14:textId="77777777">
      <w:r>
        <w:continuationSeparator/>
      </w:r>
    </w:p>
  </w:footnote>
  <w:footnote w:id="2">
    <w:p w:rsidR="007F6EA2" w14:paraId="3710BBBA"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7322B246"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151E11E8" w14:textId="77777777">
    <w:pPr>
      <w:pStyle w:val="Header"/>
      <w:pBdr>
        <w:bottom w:val="single" w:sz="4" w:space="1" w:color="auto"/>
      </w:pBdr>
      <w:tabs>
        <w:tab w:val="clear" w:pos="4513"/>
        <w:tab w:val="clear" w:pos="9027"/>
      </w:tabs>
      <w:jc w:val="center"/>
    </w:pPr>
  </w:p>
  <w:p w:rsidR="00DD3DD7" w:rsidRPr="00DD3DD7" w:rsidP="00DD3DD7" w14:paraId="3DA1A91A"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7DE130A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763D2F39" w14:textId="77777777">
    <w:pPr>
      <w:pStyle w:val="Header"/>
      <w:pBdr>
        <w:bottom w:val="single" w:sz="4" w:space="1" w:color="auto"/>
      </w:pBdr>
      <w:tabs>
        <w:tab w:val="clear" w:pos="4513"/>
        <w:tab w:val="clear" w:pos="9027"/>
      </w:tabs>
      <w:jc w:val="center"/>
    </w:pPr>
    <w:bookmarkStart w:id="3" w:name="spsSymbolHeader"/>
    <w:r w:rsidRPr="00DD3DD7">
      <w:t>G/TBT/N/USA/624/Add.6</w:t>
    </w:r>
    <w:bookmarkEnd w:id="3"/>
  </w:p>
  <w:p w:rsidR="00DD3DD7" w:rsidRPr="00DD3DD7" w:rsidP="00DD3DD7" w14:paraId="24498A5B" w14:textId="77777777">
    <w:pPr>
      <w:pStyle w:val="Header"/>
      <w:pBdr>
        <w:bottom w:val="single" w:sz="4" w:space="1" w:color="auto"/>
      </w:pBdr>
      <w:tabs>
        <w:tab w:val="clear" w:pos="4513"/>
        <w:tab w:val="clear" w:pos="9027"/>
      </w:tabs>
      <w:jc w:val="center"/>
    </w:pPr>
  </w:p>
  <w:p w:rsidR="00DD3DD7" w:rsidRPr="00DD3DD7" w:rsidP="00DD3DD7" w14:paraId="344D8739"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1D49581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16F14C0"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39FDBC93"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56381AF5" w14:textId="77777777">
          <w:pPr>
            <w:jc w:val="right"/>
            <w:rPr>
              <w:b/>
              <w:color w:val="FF0000"/>
              <w:szCs w:val="16"/>
            </w:rPr>
          </w:pPr>
          <w:r>
            <w:rPr>
              <w:b/>
              <w:color w:val="FF0000"/>
              <w:szCs w:val="16"/>
            </w:rPr>
            <w:t xml:space="preserve"> </w:t>
          </w:r>
        </w:p>
      </w:tc>
    </w:tr>
    <w:tr w14:paraId="63D7EA47"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5D7BEB3B"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75FC1C55" w14:textId="77777777">
          <w:pPr>
            <w:jc w:val="right"/>
            <w:rPr>
              <w:b/>
              <w:szCs w:val="16"/>
            </w:rPr>
          </w:pPr>
        </w:p>
      </w:tc>
    </w:tr>
    <w:tr w14:paraId="14E091B1"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6D439A4E"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55838D7B" w14:textId="77777777">
          <w:pPr>
            <w:jc w:val="right"/>
            <w:rPr>
              <w:rFonts w:eastAsia="Calibri" w:cs="Times New Roman"/>
              <w:b/>
              <w:szCs w:val="16"/>
            </w:rPr>
          </w:pPr>
          <w:bookmarkStart w:id="4" w:name="bmkSymbols"/>
          <w:r w:rsidRPr="002F663C">
            <w:rPr>
              <w:rFonts w:eastAsia="Calibri" w:cs="Times New Roman"/>
              <w:b/>
              <w:szCs w:val="16"/>
            </w:rPr>
            <w:t>G/TBT/N/USA/624/Add.6</w:t>
          </w:r>
          <w:bookmarkEnd w:id="4"/>
        </w:p>
        <w:p w:rsidR="00C14444" w:rsidRPr="00C14444" w:rsidP="00C14444" w14:paraId="32D79E4C" w14:textId="77777777">
          <w:pPr>
            <w:jc w:val="center"/>
            <w:rPr>
              <w:szCs w:val="16"/>
            </w:rPr>
          </w:pPr>
        </w:p>
      </w:tc>
    </w:tr>
    <w:tr w14:paraId="4C6504CA"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0642031A" w14:textId="77777777"/>
      </w:tc>
      <w:tc>
        <w:tcPr>
          <w:tcW w:w="5448" w:type="dxa"/>
          <w:gridSpan w:val="2"/>
          <w:shd w:val="clear" w:color="auto" w:fill="FFFFFF"/>
          <w:tcMar>
            <w:left w:w="108" w:type="dxa"/>
            <w:right w:w="108" w:type="dxa"/>
          </w:tcMar>
          <w:vAlign w:val="center"/>
        </w:tcPr>
        <w:p w:rsidR="00ED54E0" w:rsidRPr="00182B84" w:rsidP="00425DC5" w14:paraId="2D7DC115" w14:textId="77777777">
          <w:pPr>
            <w:jc w:val="right"/>
            <w:rPr>
              <w:szCs w:val="16"/>
            </w:rPr>
          </w:pPr>
          <w:bookmarkStart w:id="5" w:name="bmkDate"/>
          <w:r w:rsidRPr="00182B84">
            <w:rPr>
              <w:szCs w:val="16"/>
            </w:rPr>
            <w:t>1 April 2026</w:t>
          </w:r>
          <w:bookmarkEnd w:id="5"/>
        </w:p>
      </w:tc>
    </w:tr>
    <w:tr w14:paraId="571989DE"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5A75A222" w14:textId="77777777">
          <w:pPr>
            <w:jc w:val="left"/>
            <w:rPr>
              <w:b/>
            </w:rPr>
          </w:pPr>
          <w:bookmarkStart w:id="6" w:name="bmkSerial"/>
          <w:r>
            <w:rPr>
              <w:rFonts w:ascii="Verdana" w:eastAsia="Verdana" w:hAnsi="Verdana" w:cs="Verdana"/>
              <w:b w:val="0"/>
              <w:color w:val="FF0000"/>
              <w:sz w:val="18"/>
            </w:rPr>
            <w:t>(26-2601)</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6DD9C9A4"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458F1F28"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09CAFC11"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4B34D9AA"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1EAB178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77730793">
    <w:abstractNumId w:val="9"/>
  </w:num>
  <w:num w:numId="2" w16cid:durableId="1369987455">
    <w:abstractNumId w:val="7"/>
  </w:num>
  <w:num w:numId="3" w16cid:durableId="1117875008">
    <w:abstractNumId w:val="6"/>
  </w:num>
  <w:num w:numId="4" w16cid:durableId="1703358662">
    <w:abstractNumId w:val="5"/>
  </w:num>
  <w:num w:numId="5" w16cid:durableId="1328289251">
    <w:abstractNumId w:val="4"/>
  </w:num>
  <w:num w:numId="6" w16cid:durableId="446702599">
    <w:abstractNumId w:val="12"/>
  </w:num>
  <w:num w:numId="7" w16cid:durableId="612054463">
    <w:abstractNumId w:val="11"/>
  </w:num>
  <w:num w:numId="8" w16cid:durableId="1317222638">
    <w:abstractNumId w:val="10"/>
  </w:num>
  <w:num w:numId="9" w16cid:durableId="21144695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4602874">
    <w:abstractNumId w:val="13"/>
  </w:num>
  <w:num w:numId="11" w16cid:durableId="11535470">
    <w:abstractNumId w:val="8"/>
  </w:num>
  <w:num w:numId="12" w16cid:durableId="788744401">
    <w:abstractNumId w:val="3"/>
  </w:num>
  <w:num w:numId="13" w16cid:durableId="931620093">
    <w:abstractNumId w:val="2"/>
  </w:num>
  <w:num w:numId="14" w16cid:durableId="625508234">
    <w:abstractNumId w:val="1"/>
  </w:num>
  <w:num w:numId="15" w16cid:durableId="404030653">
    <w:abstractNumId w:val="0"/>
  </w:num>
  <w:num w:numId="16" w16cid:durableId="1494877684">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919F1"/>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3A17"/>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3392"/>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41445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time-time.net/times/time-zones/usa-canada/current-eastern-time-est.php" TargetMode="External" /><Relationship Id="rId11" Type="http://schemas.openxmlformats.org/officeDocument/2006/relationships/hyperlink" Target="https://24timezones.com/time-zone/est" TargetMode="External" /><Relationship Id="rId12" Type="http://schemas.openxmlformats.org/officeDocument/2006/relationships/hyperlink" Target="http://www1.eere.energy.gov/buildings/appliance_standards/standards.aspx?productid=3" TargetMode="External" /><Relationship Id="rId13" Type="http://schemas.openxmlformats.org/officeDocument/2006/relationships/hyperlink" Target="https://www.ecfr.gov/current/title-10/chapter-II/subchapter-D/part-430" TargetMode="External" /><Relationship Id="rId14" Type="http://schemas.openxmlformats.org/officeDocument/2006/relationships/hyperlink" Target="https://www.govinfo.gov/content/pkg/FR-2026-03-31/html/2026-06177.htm" TargetMode="External" /><Relationship Id="rId15" Type="http://schemas.openxmlformats.org/officeDocument/2006/relationships/hyperlink" Target="https://www.govinfo.gov/content/pkg/FR-2026-03-31/pdf/2026-06177.pdf" TargetMode="External" /><Relationship Id="rId16" Type="http://schemas.openxmlformats.org/officeDocument/2006/relationships/hyperlink" Target="https://www.regulations.gov/docket/EERE-2023-BT-STD-0005/document" TargetMode="External" /><Relationship Id="rId17" Type="http://schemas.openxmlformats.org/officeDocument/2006/relationships/hyperlink" Target="http://www.regulations.gov/" TargetMode="External" /><Relationship Id="rId18" Type="http://schemas.openxmlformats.org/officeDocument/2006/relationships/hyperlink" Target="mailto:usatbtep@nist.gov" TargetMode="External" /><Relationship Id="rId19" Type="http://schemas.openxmlformats.org/officeDocument/2006/relationships/hyperlink" Target="https://24timezones.com/time-zone/et" TargetMode="External" /><Relationship Id="rId2" Type="http://schemas.openxmlformats.org/officeDocument/2006/relationships/settings" Target="settings.xml" /><Relationship Id="rId20" Type="http://schemas.openxmlformats.org/officeDocument/2006/relationships/hyperlink" Target="https://eping.wto.org/en/Search?domainIds=1&amp;documentSymbol=usa%2F624" TargetMode="External" /><Relationship Id="rId21" Type="http://schemas.openxmlformats.org/officeDocument/2006/relationships/hyperlink" Target="https://www.regulations.gov/docket/EERE-2007-BT-STD-0016/document" TargetMode="External" /><Relationship Id="rId22" Type="http://schemas.openxmlformats.org/officeDocument/2006/relationships/hyperlink" Target="https://www.regulations.gov/docket/EERE-2008-BT-TP-0007/document" TargetMode="External" /><Relationship Id="rId23" Type="http://schemas.openxmlformats.org/officeDocument/2006/relationships/hyperlink" Target="https://www.regulations.gov/docket/EERE-2015-BT-STD-0006/document" TargetMode="External" /><Relationship Id="rId24" Type="http://schemas.openxmlformats.org/officeDocument/2006/relationships/header" Target="header1.xml" /><Relationship Id="rId25" Type="http://schemas.openxmlformats.org/officeDocument/2006/relationships/header" Target="header2.xml" /><Relationship Id="rId26" Type="http://schemas.openxmlformats.org/officeDocument/2006/relationships/footer" Target="footer1.xml" /><Relationship Id="rId27" Type="http://schemas.openxmlformats.org/officeDocument/2006/relationships/footer" Target="footer2.xml" /><Relationship Id="rId28" Type="http://schemas.openxmlformats.org/officeDocument/2006/relationships/header" Target="header3.xml" /><Relationship Id="rId29" Type="http://schemas.openxmlformats.org/officeDocument/2006/relationships/theme" Target="theme/theme1.xml" /><Relationship Id="rId3" Type="http://schemas.openxmlformats.org/officeDocument/2006/relationships/webSettings" Target="webSettings.xml" /><Relationship Id="rId30" Type="http://schemas.openxmlformats.org/officeDocument/2006/relationships/numbering" Target="numbering.xml" /><Relationship Id="rId31" Type="http://schemas.openxmlformats.org/officeDocument/2006/relationships/styles" Target="style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members.wto.org/crnattachments/2026/TBT/USA/26_01809_00_e.pdf" TargetMode="External" /><Relationship Id="rId7" Type="http://schemas.openxmlformats.org/officeDocument/2006/relationships/hyperlink" Target="https://www.energy.gov/eere/buildings/determinations-and-coverage-rulemakings" TargetMode="External" /><Relationship Id="rId8" Type="http://schemas.openxmlformats.org/officeDocument/2006/relationships/hyperlink" Target="https://www.energy.gov/cmei/buildings/fluorescent-lamp-ballasts" TargetMode="External" /><Relationship Id="rId9" Type="http://schemas.openxmlformats.org/officeDocument/2006/relationships/hyperlink" Target="https://www.energy.gov/cmei/buildings/public-meetings-and-comment-deadlines"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848</Words>
  <Characters>4835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2026-04-01T10:14:00Z</dcterms:created>
  <dcterms:modified xsi:type="dcterms:W3CDTF">2026-04-01T10:14:00Z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NC</vt:lpwstr>
  </property>
</Properties>
</file>