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F343DD2" w14:textId="77777777">
      <w:pPr>
        <w:pStyle w:val="Title"/>
        <w:rPr>
          <w:caps w:val="0"/>
          <w:kern w:val="0"/>
        </w:rPr>
      </w:pPr>
      <w:r w:rsidRPr="002F6A28">
        <w:rPr>
          <w:caps w:val="0"/>
          <w:kern w:val="0"/>
        </w:rPr>
        <w:t>NOTIFICATION</w:t>
      </w:r>
    </w:p>
    <w:p w:rsidR="009239F7" w:rsidRPr="002F6A28" w:rsidP="002F6A28" w14:paraId="4234A277" w14:textId="77777777">
      <w:pPr>
        <w:jc w:val="center"/>
      </w:pPr>
      <w:r w:rsidRPr="002F6A28">
        <w:t>The following notification is being circulated in accordance with Article 10.6</w:t>
      </w:r>
    </w:p>
    <w:p w:rsidR="009239F7" w:rsidRPr="002F6A28" w:rsidP="002F6A28" w14:paraId="78498EC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A10385F" w14:textId="77777777" w:rsidTr="00DB13FE">
        <w:tblPrEx>
          <w:tblW w:w="5000" w:type="pct"/>
          <w:tblLayout w:type="fixed"/>
          <w:tblLook w:val="0000"/>
        </w:tblPrEx>
        <w:tc>
          <w:tcPr>
            <w:tcW w:w="607" w:type="dxa"/>
            <w:tcBorders>
              <w:top w:val="double" w:sz="4" w:space="0" w:color="auto"/>
            </w:tcBorders>
          </w:tcPr>
          <w:p w:rsidR="00F85C99" w:rsidRPr="002F6A28" w:rsidP="002F6A28" w14:paraId="38F6BF6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D18E5D8"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6F36881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784A05F" w14:textId="77777777" w:rsidTr="00DB13FE">
        <w:tblPrEx>
          <w:tblW w:w="5000" w:type="pct"/>
          <w:tblLayout w:type="fixed"/>
          <w:tblLook w:val="0000"/>
        </w:tblPrEx>
        <w:tc>
          <w:tcPr>
            <w:tcW w:w="607" w:type="dxa"/>
          </w:tcPr>
          <w:p w:rsidR="00F85C99" w:rsidRPr="002F6A28" w:rsidP="002F6A28" w14:paraId="7B4F4FC7" w14:textId="77777777">
            <w:pPr>
              <w:spacing w:before="120" w:after="120"/>
              <w:jc w:val="left"/>
            </w:pPr>
            <w:r w:rsidRPr="002F6A28">
              <w:rPr>
                <w:b/>
              </w:rPr>
              <w:t>2.</w:t>
            </w:r>
          </w:p>
        </w:tc>
        <w:tc>
          <w:tcPr>
            <w:tcW w:w="8373" w:type="dxa"/>
          </w:tcPr>
          <w:p w:rsidR="00F85C99" w:rsidRPr="002F6A28" w:rsidP="000C3B6C" w14:paraId="2CB47922" w14:textId="77777777">
            <w:pPr>
              <w:spacing w:before="120" w:after="120"/>
            </w:pPr>
            <w:r w:rsidRPr="002F6A28">
              <w:rPr>
                <w:b/>
              </w:rPr>
              <w:t>Agency responsible:</w:t>
            </w:r>
            <w:r w:rsidRPr="00C379C8" w:rsidR="00EE3A11">
              <w:t xml:space="preserve"> </w:t>
            </w:r>
          </w:p>
          <w:p w:rsidR="00EE3A11" w:rsidRPr="00C379C8" w:rsidP="000C3B6C" w14:paraId="2297E04D" w14:textId="77777777">
            <w:pPr>
              <w:spacing w:after="120"/>
            </w:pPr>
            <w:r w:rsidRPr="00C379C8">
              <w:t>Department for Environment, Food and Rural Affairs (DEFRA)</w:t>
            </w:r>
          </w:p>
        </w:tc>
      </w:tr>
      <w:tr w14:paraId="312F5EC1" w14:textId="77777777" w:rsidTr="00DB13FE">
        <w:tblPrEx>
          <w:tblW w:w="5000" w:type="pct"/>
          <w:tblLayout w:type="fixed"/>
          <w:tblLook w:val="0000"/>
        </w:tblPrEx>
        <w:tc>
          <w:tcPr>
            <w:tcW w:w="607" w:type="dxa"/>
          </w:tcPr>
          <w:p w:rsidR="00F85C99" w:rsidRPr="002F6A28" w:rsidP="002F6A28" w14:paraId="76093167" w14:textId="77777777">
            <w:pPr>
              <w:spacing w:before="120" w:after="120"/>
              <w:jc w:val="left"/>
              <w:rPr>
                <w:b/>
              </w:rPr>
            </w:pPr>
            <w:r w:rsidRPr="002F6A28">
              <w:rPr>
                <w:b/>
              </w:rPr>
              <w:t>3.</w:t>
            </w:r>
          </w:p>
        </w:tc>
        <w:tc>
          <w:tcPr>
            <w:tcW w:w="8373" w:type="dxa"/>
          </w:tcPr>
          <w:p w:rsidR="00F85C99" w:rsidRPr="0058336F" w:rsidP="002F6A28" w14:paraId="59B934E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89C1E81" w14:textId="77777777" w:rsidTr="00DB13FE">
        <w:tblPrEx>
          <w:tblW w:w="5000" w:type="pct"/>
          <w:tblLayout w:type="fixed"/>
          <w:tblLook w:val="0000"/>
        </w:tblPrEx>
        <w:tc>
          <w:tcPr>
            <w:tcW w:w="607" w:type="dxa"/>
          </w:tcPr>
          <w:p w:rsidR="00F85C99" w:rsidRPr="002F6A28" w:rsidP="002F6A28" w14:paraId="0152EDFB" w14:textId="77777777">
            <w:pPr>
              <w:spacing w:before="120" w:after="120"/>
              <w:jc w:val="left"/>
            </w:pPr>
            <w:r w:rsidRPr="002F6A28">
              <w:rPr>
                <w:b/>
              </w:rPr>
              <w:t>4.</w:t>
            </w:r>
          </w:p>
        </w:tc>
        <w:tc>
          <w:tcPr>
            <w:tcW w:w="8373" w:type="dxa"/>
          </w:tcPr>
          <w:p w:rsidR="00F85C99" w:rsidRPr="002F6A28" w:rsidP="002F6A28" w14:paraId="65805DD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Ink, whether or not concentrated or solid (excl. printing ink) (HS code(s): 321590) - Chemical/Substances used in the formulation of Tattoo inks or permanent makeup. </w:t>
            </w:r>
          </w:p>
        </w:tc>
      </w:tr>
      <w:tr w14:paraId="5D1B0D07" w14:textId="77777777" w:rsidTr="00DB13FE">
        <w:tblPrEx>
          <w:tblW w:w="5000" w:type="pct"/>
          <w:tblLayout w:type="fixed"/>
          <w:tblLook w:val="0000"/>
        </w:tblPrEx>
        <w:tc>
          <w:tcPr>
            <w:tcW w:w="607" w:type="dxa"/>
          </w:tcPr>
          <w:p w:rsidR="00F85C99" w:rsidRPr="002F6A28" w:rsidP="002F6A28" w14:paraId="684AF84D" w14:textId="77777777">
            <w:pPr>
              <w:spacing w:before="120" w:after="120"/>
              <w:jc w:val="left"/>
            </w:pPr>
            <w:r w:rsidRPr="002F6A28">
              <w:rPr>
                <w:b/>
              </w:rPr>
              <w:t>5.</w:t>
            </w:r>
          </w:p>
        </w:tc>
        <w:tc>
          <w:tcPr>
            <w:tcW w:w="8373" w:type="dxa"/>
          </w:tcPr>
          <w:p w:rsidR="00F85C99" w:rsidP="002F6A28" w14:paraId="1F24A01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UK REACH Restriction on Substances in Tattoo Inks and Permanent Make-up; (11 page(s), in English)</w:t>
            </w:r>
          </w:p>
          <w:p w:rsidR="000C3B6C" w:rsidRPr="000C3B6C" w:rsidP="002F6A28" w14:paraId="5B1DEDA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6441B" w:rsidRPr="00CE6C29" w:rsidP="002F6A28" w14:paraId="26328645"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https://members.wto.org/crnattachments/2026/TBT/GBR/26_01788_00_e.pdf</w:t>
              </w:r>
            </w:hyperlink>
          </w:p>
          <w:p w:rsidR="0036441B" w:rsidRPr="00CE6C29" w:rsidP="002F6A28" w14:paraId="7B55C8CC" w14:textId="77777777">
            <w:pPr>
              <w:rPr>
                <w:iCs/>
              </w:rPr>
            </w:pPr>
            <w:r w:rsidRPr="00CE6C29">
              <w:rPr>
                <w:iCs/>
              </w:rPr>
              <w:t>UK TBT Enquiry Point</w:t>
            </w:r>
          </w:p>
          <w:p w:rsidR="0036441B" w:rsidRPr="00CE6C29" w:rsidP="002F6A28" w14:paraId="2505421B" w14:textId="77777777">
            <w:pPr>
              <w:rPr>
                <w:iCs/>
              </w:rPr>
            </w:pPr>
            <w:r w:rsidRPr="00CE6C29">
              <w:rPr>
                <w:iCs/>
              </w:rPr>
              <w:t>Trade Group</w:t>
            </w:r>
          </w:p>
          <w:p w:rsidR="0036441B" w:rsidRPr="00CE6C29" w:rsidP="002F6A28" w14:paraId="55C5D35C" w14:textId="77777777">
            <w:pPr>
              <w:rPr>
                <w:iCs/>
              </w:rPr>
            </w:pPr>
            <w:r w:rsidRPr="00CE6C29">
              <w:rPr>
                <w:iCs/>
              </w:rPr>
              <w:t>Department for Business and Trade</w:t>
            </w:r>
          </w:p>
          <w:p w:rsidR="0036441B" w:rsidRPr="00CE6C29" w:rsidP="002F6A28" w14:paraId="214A4A30" w14:textId="77777777">
            <w:pPr>
              <w:rPr>
                <w:iCs/>
              </w:rPr>
            </w:pPr>
            <w:r w:rsidRPr="00CE6C29">
              <w:rPr>
                <w:iCs/>
              </w:rPr>
              <w:t>Old Admiralty Building</w:t>
            </w:r>
          </w:p>
          <w:p w:rsidR="0036441B" w:rsidRPr="00CE6C29" w:rsidP="002F6A28" w14:paraId="3A0CDE24" w14:textId="77777777">
            <w:pPr>
              <w:rPr>
                <w:iCs/>
              </w:rPr>
            </w:pPr>
            <w:r w:rsidRPr="00CE6C29">
              <w:rPr>
                <w:iCs/>
              </w:rPr>
              <w:t>London</w:t>
            </w:r>
          </w:p>
          <w:p w:rsidR="0036441B" w:rsidRPr="00CE6C29" w:rsidP="002F6A28" w14:paraId="1AB2E897" w14:textId="77777777">
            <w:pPr>
              <w:rPr>
                <w:iCs/>
              </w:rPr>
            </w:pPr>
            <w:r w:rsidRPr="00CE6C29">
              <w:rPr>
                <w:iCs/>
              </w:rPr>
              <w:t>SW1A 2DY</w:t>
            </w:r>
          </w:p>
          <w:p w:rsidR="0036441B" w:rsidRPr="00CE6C29" w:rsidP="002F6A28" w14:paraId="5C91B6B4" w14:textId="77777777">
            <w:pPr>
              <w:spacing w:after="120"/>
              <w:rPr>
                <w:iCs/>
              </w:rPr>
            </w:pPr>
            <w:hyperlink r:id="rId7" w:history="1">
              <w:r w:rsidRPr="00CE6C29">
                <w:rPr>
                  <w:iCs/>
                  <w:color w:val="0000FF"/>
                  <w:u w:val="single"/>
                </w:rPr>
                <w:t>TBTEnquiriesUK@trade.gov.uk</w:t>
              </w:r>
            </w:hyperlink>
          </w:p>
        </w:tc>
      </w:tr>
      <w:tr w14:paraId="5E2E004F" w14:textId="77777777" w:rsidTr="00DB13FE">
        <w:tblPrEx>
          <w:tblW w:w="5000" w:type="pct"/>
          <w:tblLayout w:type="fixed"/>
          <w:tblLook w:val="0000"/>
        </w:tblPrEx>
        <w:tc>
          <w:tcPr>
            <w:tcW w:w="607" w:type="dxa"/>
          </w:tcPr>
          <w:p w:rsidR="00F85C99" w:rsidRPr="002F6A28" w:rsidP="002F6A28" w14:paraId="71CFA61F" w14:textId="77777777">
            <w:pPr>
              <w:spacing w:before="120" w:after="120"/>
              <w:jc w:val="left"/>
              <w:rPr>
                <w:b/>
              </w:rPr>
            </w:pPr>
            <w:r w:rsidRPr="002F6A28">
              <w:rPr>
                <w:b/>
              </w:rPr>
              <w:t>6.</w:t>
            </w:r>
          </w:p>
        </w:tc>
        <w:tc>
          <w:tcPr>
            <w:tcW w:w="8373" w:type="dxa"/>
          </w:tcPr>
          <w:p w:rsidR="00F85C99" w:rsidRPr="002F6A28" w:rsidP="002F6A28" w14:paraId="4624F8A2" w14:textId="77777777">
            <w:pPr>
              <w:spacing w:before="120" w:after="120"/>
              <w:rPr>
                <w:b/>
              </w:rPr>
            </w:pPr>
            <w:r w:rsidRPr="002F6A28">
              <w:rPr>
                <w:b/>
              </w:rPr>
              <w:t>Description of content:</w:t>
            </w:r>
            <w:r w:rsidRPr="00C379C8" w:rsidR="00FE448B">
              <w:t xml:space="preserve"> This legislation will place restrictions in the UK on the use and placing on the market of mixtures containing certain hazardous substances for tattooing procedures and Permanent Make Up (PMU) treatments. </w:t>
            </w:r>
          </w:p>
          <w:p w:rsidR="00FE448B" w:rsidRPr="00C379C8" w:rsidP="002F6A28" w14:paraId="136344FB" w14:textId="77777777">
            <w:pPr>
              <w:spacing w:before="120" w:after="120"/>
            </w:pPr>
            <w:r w:rsidRPr="00C379C8">
              <w:t>The restriction will apply concentration limits to substances classified in the GB mandatory classification and labelling list as: Carcinogen category 1A, 1B and 2; Germ cell mutagen category 1A, 1B and 2; Reproductive toxicant category 1A, 1B and 2; Skin sensitising category 1, 1A and 1B; Skin corrosive category 1, 1A, 1B and 1C substances; and Serious eye damaging category 1 substances.</w:t>
            </w:r>
          </w:p>
          <w:p w:rsidR="00FE448B" w:rsidRPr="00C379C8" w:rsidP="002F6A28" w14:paraId="625A1AC3" w14:textId="77777777">
            <w:pPr>
              <w:spacing w:before="120" w:after="120"/>
            </w:pPr>
            <w:r w:rsidRPr="00C379C8">
              <w:t xml:space="preserve">Restriction conditions will also apply to substances listed in Annexes 2 and 4 of the Cosmetic Product Regulations, that are prohibited from use in cosmetics. </w:t>
            </w:r>
          </w:p>
          <w:p w:rsidR="00FE448B" w:rsidRPr="00C379C8" w:rsidP="002F6A28" w14:paraId="35C192EB" w14:textId="77777777">
            <w:pPr>
              <w:spacing w:before="120" w:after="120"/>
            </w:pPr>
            <w:r w:rsidRPr="00C379C8">
              <w:t>The restriction will also apply labelling requirements to mixtures for tattooing purposes with substances in scope of the restriction. This includes specific labelling requirements to clearly communicate the use of pH regulators, as well as allergen warnings for mixtures containing nickel or chromium (VI).</w:t>
            </w:r>
          </w:p>
        </w:tc>
      </w:tr>
      <w:tr w14:paraId="07D37ADE" w14:textId="77777777" w:rsidTr="00DB13FE">
        <w:tblPrEx>
          <w:tblW w:w="5000" w:type="pct"/>
          <w:tblLayout w:type="fixed"/>
          <w:tblLook w:val="0000"/>
        </w:tblPrEx>
        <w:tc>
          <w:tcPr>
            <w:tcW w:w="607" w:type="dxa"/>
          </w:tcPr>
          <w:p w:rsidR="00F85C99" w:rsidRPr="002F6A28" w:rsidP="002F6A28" w14:paraId="25CEC6B8" w14:textId="77777777">
            <w:pPr>
              <w:spacing w:before="120" w:after="120"/>
              <w:jc w:val="left"/>
              <w:rPr>
                <w:b/>
              </w:rPr>
            </w:pPr>
            <w:r w:rsidRPr="002F6A28">
              <w:rPr>
                <w:b/>
              </w:rPr>
              <w:t>7.</w:t>
            </w:r>
          </w:p>
        </w:tc>
        <w:tc>
          <w:tcPr>
            <w:tcW w:w="8373" w:type="dxa"/>
          </w:tcPr>
          <w:p w:rsidR="00F85C99" w:rsidRPr="002F6A28" w:rsidP="002F6A28" w14:paraId="08AA4987" w14:textId="77777777">
            <w:pPr>
              <w:spacing w:before="120" w:after="120"/>
              <w:rPr>
                <w:b/>
              </w:rPr>
            </w:pPr>
            <w:r w:rsidRPr="002F6A28">
              <w:rPr>
                <w:b/>
              </w:rPr>
              <w:t>Objective and rationale, including the nature of urgent problems where applicable:</w:t>
            </w:r>
            <w:r w:rsidRPr="00C379C8" w:rsidR="00EE3A11">
              <w:t xml:space="preserve"> The hazardous substances identified in tattoo inks and PMU present a risk to human health. The substances in question are carcinogenic, mutagenic, toxic to reproduction, skin sensitising, corrosive and eye damaging. The proposed measures are deemed as the most appropriate method to address the identified risks.; Protection of human health or safety</w:t>
            </w:r>
          </w:p>
        </w:tc>
      </w:tr>
      <w:tr w14:paraId="5B4B9B41" w14:textId="77777777" w:rsidTr="00DB13FE">
        <w:tblPrEx>
          <w:tblW w:w="5000" w:type="pct"/>
          <w:tblLayout w:type="fixed"/>
          <w:tblLook w:val="0000"/>
        </w:tblPrEx>
        <w:tc>
          <w:tcPr>
            <w:tcW w:w="607" w:type="dxa"/>
          </w:tcPr>
          <w:p w:rsidR="00F85C99" w:rsidRPr="002F6A28" w:rsidP="009E75ED" w14:paraId="571D3A50" w14:textId="77777777">
            <w:pPr>
              <w:spacing w:before="120" w:after="120"/>
              <w:jc w:val="left"/>
              <w:rPr>
                <w:b/>
              </w:rPr>
            </w:pPr>
            <w:r w:rsidRPr="002F6A28">
              <w:rPr>
                <w:b/>
              </w:rPr>
              <w:t>8.</w:t>
            </w:r>
          </w:p>
        </w:tc>
        <w:tc>
          <w:tcPr>
            <w:tcW w:w="8373" w:type="dxa"/>
          </w:tcPr>
          <w:p w:rsidR="000C3B6C" w:rsidRPr="00EC00D2" w:rsidP="007F13E8" w14:paraId="1752FA96" w14:textId="77777777">
            <w:pPr>
              <w:spacing w:before="120" w:after="120"/>
              <w:rPr>
                <w:bCs/>
              </w:rPr>
            </w:pPr>
            <w:r w:rsidRPr="002F6A28">
              <w:rPr>
                <w:b/>
              </w:rPr>
              <w:t>Relevant documents:</w:t>
            </w:r>
            <w:r w:rsidRPr="002F6A28" w:rsidR="00EE3A11">
              <w:t xml:space="preserve"> </w:t>
            </w:r>
          </w:p>
          <w:p w:rsidR="00EE3A11" w:rsidRPr="002F6A28" w:rsidP="007F13E8" w14:paraId="65641911" w14:textId="77777777">
            <w:pPr>
              <w:numPr>
                <w:ilvl w:val="0"/>
                <w:numId w:val="16"/>
              </w:numPr>
              <w:spacing w:before="120" w:after="120"/>
            </w:pPr>
            <w:hyperlink r:id="rId8" w:history="1">
              <w:r w:rsidRPr="002F6A28">
                <w:rPr>
                  <w:color w:val="0000FF"/>
                  <w:u w:val="single"/>
                </w:rPr>
                <w:t>Decision Report</w:t>
              </w:r>
            </w:hyperlink>
          </w:p>
          <w:p w:rsidR="00EE3A11" w:rsidRPr="002F6A28" w:rsidP="007F13E8" w14:paraId="4C229371" w14:textId="77777777">
            <w:pPr>
              <w:numPr>
                <w:ilvl w:val="0"/>
                <w:numId w:val="16"/>
              </w:numPr>
              <w:spacing w:before="120" w:after="120"/>
            </w:pPr>
            <w:hyperlink r:id="rId9" w:history="1">
              <w:r w:rsidRPr="002F6A28">
                <w:rPr>
                  <w:color w:val="0000FF"/>
                  <w:u w:val="single"/>
                </w:rPr>
                <w:t>GB Mandatory Classification and Labelling list</w:t>
              </w:r>
            </w:hyperlink>
          </w:p>
          <w:p w:rsidR="00EE3A11" w:rsidRPr="002F6A28" w:rsidP="007F13E8" w14:paraId="657F2FF6" w14:textId="77777777">
            <w:pPr>
              <w:numPr>
                <w:ilvl w:val="0"/>
                <w:numId w:val="16"/>
              </w:numPr>
              <w:spacing w:before="120" w:after="120"/>
            </w:pPr>
            <w:hyperlink r:id="rId10" w:history="1">
              <w:r w:rsidRPr="002F6A28">
                <w:rPr>
                  <w:color w:val="0000FF"/>
                  <w:u w:val="single"/>
                </w:rPr>
                <w:t>Cosmetic Product Regulation</w:t>
              </w:r>
            </w:hyperlink>
          </w:p>
          <w:p w:rsidR="00EE3A11" w:rsidRPr="002F6A28" w:rsidP="007F13E8" w14:paraId="5B5FEF5F" w14:textId="77777777">
            <w:pPr>
              <w:numPr>
                <w:ilvl w:val="0"/>
                <w:numId w:val="16"/>
              </w:numPr>
              <w:spacing w:before="120" w:after="120"/>
            </w:pPr>
            <w:hyperlink r:id="rId11" w:history="1">
              <w:r w:rsidRPr="002F6A28">
                <w:rPr>
                  <w:color w:val="0000FF"/>
                  <w:u w:val="single"/>
                </w:rPr>
                <w:t>UK REACH Regulation</w:t>
              </w:r>
            </w:hyperlink>
          </w:p>
          <w:p w:rsidR="00EE3A11" w:rsidRPr="002F6A28" w:rsidP="007F13E8" w14:paraId="0A6EE4C9" w14:textId="77777777">
            <w:pPr>
              <w:numPr>
                <w:ilvl w:val="0"/>
                <w:numId w:val="16"/>
              </w:numPr>
              <w:spacing w:before="120" w:after="120"/>
            </w:pPr>
            <w:hyperlink r:id="rId12" w:history="1">
              <w:r w:rsidRPr="002F6A28">
                <w:rPr>
                  <w:color w:val="0000FF"/>
                  <w:u w:val="single"/>
                </w:rPr>
                <w:t>HSE Final Opinions</w:t>
              </w:r>
            </w:hyperlink>
          </w:p>
        </w:tc>
      </w:tr>
      <w:tr w14:paraId="5C5A7273" w14:textId="77777777" w:rsidTr="00DB13FE">
        <w:tblPrEx>
          <w:tblW w:w="5000" w:type="pct"/>
          <w:tblLayout w:type="fixed"/>
          <w:tblLook w:val="0000"/>
        </w:tblPrEx>
        <w:tc>
          <w:tcPr>
            <w:tcW w:w="607" w:type="dxa"/>
          </w:tcPr>
          <w:p w:rsidR="00EE3A11" w:rsidRPr="002F6A28" w:rsidP="002F6A28" w14:paraId="7E8FFB34" w14:textId="77777777">
            <w:pPr>
              <w:spacing w:before="120" w:after="120"/>
              <w:jc w:val="left"/>
              <w:rPr>
                <w:b/>
              </w:rPr>
            </w:pPr>
            <w:r w:rsidRPr="002F6A28">
              <w:rPr>
                <w:b/>
              </w:rPr>
              <w:t>9.</w:t>
            </w:r>
          </w:p>
        </w:tc>
        <w:tc>
          <w:tcPr>
            <w:tcW w:w="8373" w:type="dxa"/>
          </w:tcPr>
          <w:p w:rsidR="00EE3A11" w:rsidRPr="002F6A28" w:rsidP="008953C4" w14:paraId="74A4FDFC" w14:textId="77777777">
            <w:pPr>
              <w:spacing w:before="120" w:after="120"/>
            </w:pPr>
            <w:r w:rsidRPr="002F6A28">
              <w:rPr>
                <w:b/>
              </w:rPr>
              <w:t>Proposed date of adoption:</w:t>
            </w:r>
            <w:r w:rsidRPr="00C379C8">
              <w:t xml:space="preserve"> December 2026</w:t>
            </w:r>
          </w:p>
          <w:p w:rsidR="00EE3A11" w:rsidRPr="002F6A28" w:rsidP="008953C4" w14:paraId="78B0B5BD" w14:textId="77777777">
            <w:pPr>
              <w:spacing w:after="120"/>
            </w:pPr>
            <w:r w:rsidRPr="002F6A28">
              <w:rPr>
                <w:b/>
              </w:rPr>
              <w:t>Proposed date of entry into force:</w:t>
            </w:r>
            <w:r w:rsidRPr="00C379C8">
              <w:t xml:space="preserve"> December 2028 for formulators and suppliers. </w:t>
            </w:r>
          </w:p>
          <w:p w:rsidR="0036441B" w:rsidRPr="00C379C8" w:rsidP="008953C4" w14:paraId="2E3903FB" w14:textId="77777777">
            <w:pPr>
              <w:spacing w:after="120"/>
            </w:pPr>
            <w:r w:rsidRPr="00C379C8">
              <w:t>With an additional date of December 2029 for tattoo artists and PMU professionals to use up non-compliant inks.</w:t>
            </w:r>
          </w:p>
        </w:tc>
      </w:tr>
      <w:tr w14:paraId="1A5EFFD2" w14:textId="77777777" w:rsidTr="00DB13FE">
        <w:tblPrEx>
          <w:tblW w:w="5000" w:type="pct"/>
          <w:tblLayout w:type="fixed"/>
          <w:tblLook w:val="0000"/>
        </w:tblPrEx>
        <w:tc>
          <w:tcPr>
            <w:tcW w:w="607" w:type="dxa"/>
            <w:tcBorders>
              <w:bottom w:val="double" w:sz="4" w:space="0" w:color="auto"/>
            </w:tcBorders>
          </w:tcPr>
          <w:p w:rsidR="00F85C99" w:rsidRPr="002F6A28" w:rsidP="002F6A28" w14:paraId="14E57D7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30A45D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C256719" w14:textId="77777777">
            <w:pPr>
              <w:spacing w:before="120" w:after="120"/>
              <w:rPr>
                <w:bCs/>
              </w:rPr>
            </w:pPr>
            <w:r w:rsidRPr="002F6A28">
              <w:rPr>
                <w:b/>
              </w:rPr>
              <w:t>Final date for comments:</w:t>
            </w:r>
            <w:r w:rsidRPr="00C379C8" w:rsidR="00EE3A11">
              <w:t xml:space="preserve"> 30 May 2026</w:t>
            </w:r>
          </w:p>
          <w:p w:rsidR="000C3B6C" w:rsidRPr="00E3324D" w:rsidP="000C3B6C" w14:paraId="41F113C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P="000C3B6C" w14:paraId="5891AB10" w14:textId="77777777">
            <w:pPr>
              <w:spacing w:before="120" w:after="120"/>
            </w:pPr>
            <w:r w:rsidRPr="00E3324D">
              <w:rPr>
                <w:b/>
                <w:bCs/>
              </w:rPr>
              <w:t>C</w:t>
            </w:r>
            <w:r w:rsidRPr="00E3324D">
              <w:rPr>
                <w:b/>
                <w:bCs/>
              </w:rPr>
              <w:t>ontact details of agency or authority designated to handle comments regarding the notification:</w:t>
            </w:r>
            <w:r w:rsidRPr="00CE6C29" w:rsidR="00CE6C29">
              <w:t xml:space="preserve"> </w:t>
            </w:r>
          </w:p>
          <w:p w:rsidR="00C01DDB" w:rsidRPr="006A4C49" w:rsidP="00C01DDB" w14:paraId="675C6DDC" w14:textId="77777777">
            <w:pPr>
              <w:tabs>
                <w:tab w:val="left" w:pos="1418"/>
                <w:tab w:val="left" w:pos="2127"/>
                <w:tab w:val="left" w:pos="2835"/>
                <w:tab w:val="left" w:pos="3402"/>
              </w:tabs>
            </w:pPr>
            <w:r w:rsidRPr="006A4C49">
              <w:t>UK TBT Enquiry Point</w:t>
            </w:r>
          </w:p>
          <w:p w:rsidR="00C01DDB" w:rsidRPr="006A4C49" w:rsidP="00C01DDB" w14:paraId="5FEF8416" w14:textId="77777777">
            <w:pPr>
              <w:tabs>
                <w:tab w:val="left" w:pos="1418"/>
                <w:tab w:val="left" w:pos="2127"/>
                <w:tab w:val="left" w:pos="2835"/>
                <w:tab w:val="left" w:pos="3402"/>
              </w:tabs>
            </w:pPr>
            <w:r w:rsidRPr="006A4C49">
              <w:t>Trade Group</w:t>
            </w:r>
          </w:p>
          <w:p w:rsidR="00C01DDB" w:rsidRPr="006A4C49" w:rsidP="00C01DDB" w14:paraId="02AB20CE" w14:textId="77777777">
            <w:pPr>
              <w:tabs>
                <w:tab w:val="left" w:pos="1418"/>
                <w:tab w:val="left" w:pos="2127"/>
                <w:tab w:val="left" w:pos="2835"/>
                <w:tab w:val="left" w:pos="3402"/>
              </w:tabs>
            </w:pPr>
            <w:r w:rsidRPr="006A4C49">
              <w:t>Department for Business and Trade</w:t>
            </w:r>
          </w:p>
          <w:p w:rsidR="00C01DDB" w:rsidRPr="006A4C49" w:rsidP="00C01DDB" w14:paraId="7A162605" w14:textId="77777777">
            <w:pPr>
              <w:tabs>
                <w:tab w:val="left" w:pos="1418"/>
                <w:tab w:val="left" w:pos="2127"/>
                <w:tab w:val="left" w:pos="2835"/>
                <w:tab w:val="left" w:pos="3402"/>
              </w:tabs>
            </w:pPr>
            <w:r w:rsidRPr="006A4C49">
              <w:t>Old Admiralty Building</w:t>
            </w:r>
          </w:p>
          <w:p w:rsidR="00C01DDB" w:rsidRPr="006A4C49" w:rsidP="00C01DDB" w14:paraId="3EBD8DF2" w14:textId="77777777">
            <w:pPr>
              <w:tabs>
                <w:tab w:val="left" w:pos="1418"/>
                <w:tab w:val="left" w:pos="2127"/>
                <w:tab w:val="left" w:pos="2835"/>
                <w:tab w:val="left" w:pos="3402"/>
              </w:tabs>
            </w:pPr>
            <w:r w:rsidRPr="006A4C49">
              <w:t>London</w:t>
            </w:r>
          </w:p>
          <w:p w:rsidR="00C01DDB" w:rsidP="00C01DDB" w14:paraId="08FB5EB3" w14:textId="77777777">
            <w:pPr>
              <w:tabs>
                <w:tab w:val="left" w:pos="1418"/>
                <w:tab w:val="left" w:pos="2127"/>
                <w:tab w:val="left" w:pos="2835"/>
                <w:tab w:val="left" w:pos="3402"/>
              </w:tabs>
            </w:pPr>
            <w:r w:rsidRPr="006A4C49">
              <w:t>SW1A 2DY</w:t>
            </w:r>
          </w:p>
          <w:p w:rsidR="00C01DDB" w:rsidRPr="002F6A28" w:rsidP="00C01DDB" w14:paraId="2E6CAE14" w14:textId="77777777">
            <w:pPr>
              <w:tabs>
                <w:tab w:val="left" w:pos="1418"/>
                <w:tab w:val="left" w:pos="2127"/>
                <w:tab w:val="left" w:pos="2835"/>
                <w:tab w:val="left" w:pos="3402"/>
              </w:tabs>
            </w:pPr>
          </w:p>
        </w:tc>
      </w:tr>
    </w:tbl>
    <w:p w:rsidR="00EE3A11" w:rsidRPr="002F6A28" w:rsidP="00887259" w14:paraId="4988EADD"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D6CD7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15552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8964B6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9B8688" w14:textId="77777777">
    <w:pPr>
      <w:pStyle w:val="Header"/>
      <w:pBdr>
        <w:bottom w:val="single" w:sz="4" w:space="1" w:color="auto"/>
      </w:pBdr>
      <w:tabs>
        <w:tab w:val="clear" w:pos="4513"/>
        <w:tab w:val="clear" w:pos="9027"/>
      </w:tabs>
      <w:jc w:val="center"/>
    </w:pPr>
    <w:r w:rsidRPr="002F6A28">
      <w:t>tbtSymbol</w:t>
    </w:r>
  </w:p>
  <w:p w:rsidR="009239F7" w:rsidRPr="002F6A28" w:rsidP="009239F7" w14:paraId="1F84DFA8" w14:textId="77777777">
    <w:pPr>
      <w:pStyle w:val="Header"/>
      <w:pBdr>
        <w:bottom w:val="single" w:sz="4" w:space="1" w:color="auto"/>
      </w:pBdr>
      <w:tabs>
        <w:tab w:val="clear" w:pos="4513"/>
        <w:tab w:val="clear" w:pos="9027"/>
      </w:tabs>
      <w:jc w:val="center"/>
    </w:pPr>
  </w:p>
  <w:p w:rsidR="009239F7" w:rsidRPr="002F6A28" w:rsidP="009239F7" w14:paraId="4784F81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32F405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A364E7" w14:textId="77777777">
    <w:pPr>
      <w:pStyle w:val="Header"/>
      <w:pBdr>
        <w:bottom w:val="single" w:sz="4" w:space="1" w:color="auto"/>
      </w:pBdr>
      <w:tabs>
        <w:tab w:val="clear" w:pos="4513"/>
        <w:tab w:val="clear" w:pos="9027"/>
      </w:tabs>
      <w:jc w:val="center"/>
    </w:pPr>
    <w:bookmarkStart w:id="0" w:name="spsSymbolHeader"/>
    <w:r w:rsidRPr="002F6A28">
      <w:t>G/TBT/N/GBR/118</w:t>
    </w:r>
    <w:bookmarkEnd w:id="0"/>
  </w:p>
  <w:p w:rsidR="009239F7" w:rsidRPr="002F6A28" w:rsidP="009239F7" w14:paraId="7B62B44D" w14:textId="77777777">
    <w:pPr>
      <w:pStyle w:val="Header"/>
      <w:pBdr>
        <w:bottom w:val="single" w:sz="4" w:space="1" w:color="auto"/>
      </w:pBdr>
      <w:tabs>
        <w:tab w:val="clear" w:pos="4513"/>
        <w:tab w:val="clear" w:pos="9027"/>
      </w:tabs>
      <w:jc w:val="center"/>
    </w:pPr>
  </w:p>
  <w:p w:rsidR="009239F7" w:rsidRPr="002F6A28" w:rsidP="009239F7" w14:paraId="14ABEBA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27B4A7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EB045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A9D1D1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87295D5" w14:textId="77777777">
          <w:pPr>
            <w:jc w:val="right"/>
            <w:rPr>
              <w:b/>
              <w:color w:val="FF0000"/>
              <w:szCs w:val="16"/>
            </w:rPr>
          </w:pPr>
        </w:p>
      </w:tc>
    </w:tr>
    <w:bookmarkEnd w:id="1"/>
    <w:tr w14:paraId="229D6C3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912500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E94EEE4" w14:textId="77777777">
          <w:pPr>
            <w:jc w:val="right"/>
            <w:rPr>
              <w:b/>
              <w:szCs w:val="16"/>
            </w:rPr>
          </w:pPr>
        </w:p>
      </w:tc>
    </w:tr>
    <w:tr w14:paraId="2D7EC1C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C4CFCC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089473E" w14:textId="77777777">
          <w:pPr>
            <w:jc w:val="right"/>
            <w:rPr>
              <w:b/>
              <w:szCs w:val="16"/>
            </w:rPr>
          </w:pPr>
          <w:bookmarkStart w:id="2" w:name="bmkSymbols"/>
          <w:r w:rsidRPr="002F6A28">
            <w:rPr>
              <w:b/>
              <w:szCs w:val="16"/>
            </w:rPr>
            <w:t>G/TBT/N/GBR/118</w:t>
          </w:r>
          <w:bookmarkEnd w:id="2"/>
        </w:p>
      </w:tc>
    </w:tr>
    <w:tr w14:paraId="36CA516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2DDE316" w14:textId="77777777"/>
      </w:tc>
      <w:tc>
        <w:tcPr>
          <w:tcW w:w="5448" w:type="dxa"/>
          <w:gridSpan w:val="2"/>
          <w:shd w:val="clear" w:color="auto" w:fill="FFFFFF"/>
          <w:tcMar>
            <w:left w:w="108" w:type="dxa"/>
            <w:right w:w="108" w:type="dxa"/>
          </w:tcMar>
          <w:vAlign w:val="center"/>
        </w:tcPr>
        <w:p w:rsidR="00ED54E0" w:rsidRPr="009239F7" w:rsidP="00B801E9" w14:paraId="455DB3DF" w14:textId="77777777">
          <w:pPr>
            <w:jc w:val="right"/>
            <w:rPr>
              <w:szCs w:val="16"/>
            </w:rPr>
          </w:pPr>
          <w:bookmarkStart w:id="3" w:name="spsDateDistribution"/>
          <w:bookmarkStart w:id="4" w:name="bmkDate"/>
          <w:r w:rsidRPr="009239F7">
            <w:rPr>
              <w:szCs w:val="16"/>
            </w:rPr>
            <w:t>31 March 2026</w:t>
          </w:r>
          <w:bookmarkEnd w:id="3"/>
          <w:bookmarkEnd w:id="4"/>
        </w:p>
      </w:tc>
    </w:tr>
    <w:tr w14:paraId="242035D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AA1724D" w14:textId="77777777">
          <w:pPr>
            <w:jc w:val="left"/>
            <w:rPr>
              <w:b/>
            </w:rPr>
          </w:pPr>
          <w:bookmarkStart w:id="5" w:name="bmkSerial"/>
          <w:r>
            <w:rPr>
              <w:rFonts w:ascii="Verdana" w:eastAsia="Verdana" w:hAnsi="Verdana" w:cs="Verdana"/>
              <w:b w:val="0"/>
              <w:color w:val="FF0000"/>
              <w:sz w:val="18"/>
            </w:rPr>
            <w:t>(26-2564)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EAAA8F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403EFB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2BF332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C195CA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611600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59901008">
    <w:abstractNumId w:val="9"/>
  </w:num>
  <w:num w:numId="2" w16cid:durableId="1905095676">
    <w:abstractNumId w:val="7"/>
  </w:num>
  <w:num w:numId="3" w16cid:durableId="564337841">
    <w:abstractNumId w:val="6"/>
  </w:num>
  <w:num w:numId="4" w16cid:durableId="1911845216">
    <w:abstractNumId w:val="5"/>
  </w:num>
  <w:num w:numId="5" w16cid:durableId="1713729254">
    <w:abstractNumId w:val="4"/>
  </w:num>
  <w:num w:numId="6" w16cid:durableId="80302219">
    <w:abstractNumId w:val="12"/>
  </w:num>
  <w:num w:numId="7" w16cid:durableId="737704866">
    <w:abstractNumId w:val="11"/>
  </w:num>
  <w:num w:numId="8" w16cid:durableId="198200204">
    <w:abstractNumId w:val="10"/>
  </w:num>
  <w:num w:numId="9" w16cid:durableId="3227770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3610290">
    <w:abstractNumId w:val="13"/>
  </w:num>
  <w:num w:numId="11" w16cid:durableId="371928549">
    <w:abstractNumId w:val="8"/>
  </w:num>
  <w:num w:numId="12" w16cid:durableId="245964744">
    <w:abstractNumId w:val="3"/>
  </w:num>
  <w:num w:numId="13" w16cid:durableId="1388645481">
    <w:abstractNumId w:val="2"/>
  </w:num>
  <w:num w:numId="14" w16cid:durableId="296881481">
    <w:abstractNumId w:val="1"/>
  </w:num>
  <w:num w:numId="15" w16cid:durableId="119030217">
    <w:abstractNumId w:val="0"/>
  </w:num>
  <w:num w:numId="16" w16cid:durableId="7284538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F7F43"/>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F1EED"/>
    <w:rsid w:val="00204CC3"/>
    <w:rsid w:val="00214E54"/>
    <w:rsid w:val="00233408"/>
    <w:rsid w:val="002514C1"/>
    <w:rsid w:val="00267723"/>
    <w:rsid w:val="00270637"/>
    <w:rsid w:val="0027067B"/>
    <w:rsid w:val="002C23DE"/>
    <w:rsid w:val="002C25EE"/>
    <w:rsid w:val="002D21E3"/>
    <w:rsid w:val="002E174F"/>
    <w:rsid w:val="002F6A28"/>
    <w:rsid w:val="00303D9D"/>
    <w:rsid w:val="00304AAE"/>
    <w:rsid w:val="00305616"/>
    <w:rsid w:val="003124EC"/>
    <w:rsid w:val="00320A1B"/>
    <w:rsid w:val="00330B7F"/>
    <w:rsid w:val="003531C5"/>
    <w:rsid w:val="003572B4"/>
    <w:rsid w:val="0036441B"/>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2689"/>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01DDB"/>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6789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0FD24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egislation.gov.uk/eur/2009/1223/contents" TargetMode="External" /><Relationship Id="rId11" Type="http://schemas.openxmlformats.org/officeDocument/2006/relationships/hyperlink" Target="https://www.legislation.gov.uk/eur/2006/1907/contents" TargetMode="External" /><Relationship Id="rId12" Type="http://schemas.openxmlformats.org/officeDocument/2006/relationships/hyperlink" Target="https://www.hse.gov.uk/reach/assets/docs/tattoo-inks/opinion.pdf"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GBR/26_01788_00_e.pdf" TargetMode="External" /><Relationship Id="rId7" Type="http://schemas.openxmlformats.org/officeDocument/2006/relationships/hyperlink" Target="mailto:TBTEnquiriesUK@trade.gov.uk" TargetMode="External" /><Relationship Id="rId8" Type="http://schemas.openxmlformats.org/officeDocument/2006/relationships/hyperlink" Target="https://assets.publishing.service.gov.uk/media/6965116396e60a090ce1ff7f/UK-REACH-restriction-report-substances-in-tattoo-inks-permanent_make-up.pdf" TargetMode="External" /><Relationship Id="rId9" Type="http://schemas.openxmlformats.org/officeDocument/2006/relationships/hyperlink" Target="https://www.hse.gov.uk/chemical-classification/classification/mcl-list.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DF5DF-74E8-452F-9713-CE8B633F724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4</cp:revision>
  <dcterms:created xsi:type="dcterms:W3CDTF">2026-03-31T12:52:00Z</dcterms:created>
  <dcterms:modified xsi:type="dcterms:W3CDTF">2026-03-31T13:07:00Z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