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F9C176" w14:textId="77777777">
      <w:pPr>
        <w:pStyle w:val="Title"/>
        <w:rPr>
          <w:caps w:val="0"/>
          <w:kern w:val="0"/>
        </w:rPr>
      </w:pPr>
      <w:r w:rsidRPr="002F6A28">
        <w:rPr>
          <w:caps w:val="0"/>
          <w:kern w:val="0"/>
        </w:rPr>
        <w:t>NOTIFICATION</w:t>
      </w:r>
    </w:p>
    <w:p w:rsidR="009239F7" w:rsidRPr="002F6A28" w:rsidP="002F6A28" w14:paraId="647F8C61" w14:textId="77777777">
      <w:pPr>
        <w:jc w:val="center"/>
      </w:pPr>
      <w:r w:rsidRPr="002F6A28">
        <w:t>The following notification is being circulated in accordance with Article 10.6</w:t>
      </w:r>
    </w:p>
    <w:p w:rsidR="009239F7" w:rsidRPr="002F6A28" w:rsidP="002F6A28" w14:paraId="0C394E2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43AF332" w14:textId="77777777" w:rsidTr="00DB13FE">
        <w:tblPrEx>
          <w:tblW w:w="5000" w:type="pct"/>
          <w:tblLayout w:type="fixed"/>
          <w:tblLook w:val="0000"/>
        </w:tblPrEx>
        <w:tc>
          <w:tcPr>
            <w:tcW w:w="607" w:type="dxa"/>
            <w:tcBorders>
              <w:top w:val="double" w:sz="4" w:space="0" w:color="auto"/>
            </w:tcBorders>
          </w:tcPr>
          <w:p w:rsidR="00F85C99" w:rsidRPr="002F6A28" w:rsidP="002F6A28" w14:paraId="0D7779F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8DFB9A"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50FA0FB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E2F0846" w14:textId="77777777" w:rsidTr="00DB13FE">
        <w:tblPrEx>
          <w:tblW w:w="5000" w:type="pct"/>
          <w:tblLayout w:type="fixed"/>
          <w:tblLook w:val="0000"/>
        </w:tblPrEx>
        <w:tc>
          <w:tcPr>
            <w:tcW w:w="607" w:type="dxa"/>
          </w:tcPr>
          <w:p w:rsidR="00F85C99" w:rsidRPr="002F6A28" w:rsidP="002F6A28" w14:paraId="049092B8" w14:textId="77777777">
            <w:pPr>
              <w:spacing w:before="120" w:after="120"/>
              <w:jc w:val="left"/>
            </w:pPr>
            <w:r w:rsidRPr="002F6A28">
              <w:rPr>
                <w:b/>
              </w:rPr>
              <w:t>2.</w:t>
            </w:r>
          </w:p>
        </w:tc>
        <w:tc>
          <w:tcPr>
            <w:tcW w:w="8373" w:type="dxa"/>
          </w:tcPr>
          <w:p w:rsidR="00F85C99" w:rsidRPr="002F6A28" w:rsidP="000C3B6C" w14:paraId="3959503F" w14:textId="77777777">
            <w:pPr>
              <w:spacing w:before="120" w:after="120"/>
            </w:pPr>
            <w:r w:rsidRPr="002F6A28">
              <w:rPr>
                <w:b/>
              </w:rPr>
              <w:t>Agency responsible:</w:t>
            </w:r>
            <w:r w:rsidRPr="00C379C8" w:rsidR="00EE3A11">
              <w:t xml:space="preserve"> </w:t>
            </w:r>
          </w:p>
          <w:p w:rsidR="00EE3A11" w:rsidRPr="00C379C8" w:rsidP="000C3B6C" w14:paraId="32684B97" w14:textId="77777777">
            <w:r w:rsidRPr="00C379C8">
              <w:t>Atty. Paolo S. Teston</w:t>
            </w:r>
          </w:p>
          <w:p w:rsidR="00EE3A11" w:rsidRPr="00C379C8" w:rsidP="000C3B6C" w14:paraId="6628BD5D" w14:textId="77777777">
            <w:r w:rsidRPr="00C379C8">
              <w:t>Director General</w:t>
            </w:r>
          </w:p>
          <w:p w:rsidR="00EE3A11" w:rsidRPr="00C379C8" w:rsidP="000C3B6C" w14:paraId="43F58D00" w14:textId="77777777">
            <w:pPr>
              <w:spacing w:after="120"/>
            </w:pPr>
            <w:r w:rsidRPr="00C379C8">
              <w:t>Food and Drug Administration</w:t>
            </w:r>
          </w:p>
        </w:tc>
      </w:tr>
      <w:tr w14:paraId="1DFD6536" w14:textId="77777777" w:rsidTr="00DB13FE">
        <w:tblPrEx>
          <w:tblW w:w="5000" w:type="pct"/>
          <w:tblLayout w:type="fixed"/>
          <w:tblLook w:val="0000"/>
        </w:tblPrEx>
        <w:tc>
          <w:tcPr>
            <w:tcW w:w="607" w:type="dxa"/>
          </w:tcPr>
          <w:p w:rsidR="00F85C99" w:rsidRPr="002F6A28" w:rsidP="002F6A28" w14:paraId="2D5D4604" w14:textId="77777777">
            <w:pPr>
              <w:spacing w:before="120" w:after="120"/>
              <w:jc w:val="left"/>
              <w:rPr>
                <w:b/>
              </w:rPr>
            </w:pPr>
            <w:r w:rsidRPr="002F6A28">
              <w:rPr>
                <w:b/>
              </w:rPr>
              <w:t>3.</w:t>
            </w:r>
          </w:p>
        </w:tc>
        <w:tc>
          <w:tcPr>
            <w:tcW w:w="8373" w:type="dxa"/>
          </w:tcPr>
          <w:p w:rsidR="00F85C99" w:rsidRPr="0058336F" w:rsidP="002F6A28" w14:paraId="6E53C01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F46235B" w14:textId="77777777" w:rsidTr="00DB13FE">
        <w:tblPrEx>
          <w:tblW w:w="5000" w:type="pct"/>
          <w:tblLayout w:type="fixed"/>
          <w:tblLook w:val="0000"/>
        </w:tblPrEx>
        <w:tc>
          <w:tcPr>
            <w:tcW w:w="607" w:type="dxa"/>
          </w:tcPr>
          <w:p w:rsidR="00F85C99" w:rsidRPr="002F6A28" w:rsidP="002F6A28" w14:paraId="1D209246" w14:textId="77777777">
            <w:pPr>
              <w:spacing w:before="120" w:after="120"/>
              <w:jc w:val="left"/>
            </w:pPr>
            <w:r w:rsidRPr="002F6A28">
              <w:rPr>
                <w:b/>
              </w:rPr>
              <w:t>4.</w:t>
            </w:r>
          </w:p>
        </w:tc>
        <w:tc>
          <w:tcPr>
            <w:tcW w:w="8373" w:type="dxa"/>
          </w:tcPr>
          <w:p w:rsidR="00F85C99" w:rsidRPr="002F6A28" w:rsidP="002F6A28" w14:paraId="0598501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Medical equipment (ICS code(s): 11.040)</w:t>
            </w:r>
          </w:p>
        </w:tc>
      </w:tr>
      <w:tr w14:paraId="1176BF6D" w14:textId="77777777" w:rsidTr="00DB13FE">
        <w:tblPrEx>
          <w:tblW w:w="5000" w:type="pct"/>
          <w:tblLayout w:type="fixed"/>
          <w:tblLook w:val="0000"/>
        </w:tblPrEx>
        <w:tc>
          <w:tcPr>
            <w:tcW w:w="607" w:type="dxa"/>
          </w:tcPr>
          <w:p w:rsidR="00F85C99" w:rsidRPr="002F6A28" w:rsidP="002F6A28" w14:paraId="00C72418" w14:textId="77777777">
            <w:pPr>
              <w:spacing w:before="120" w:after="120"/>
              <w:jc w:val="left"/>
            </w:pPr>
            <w:r w:rsidRPr="002F6A28">
              <w:rPr>
                <w:b/>
              </w:rPr>
              <w:t>5.</w:t>
            </w:r>
          </w:p>
        </w:tc>
        <w:tc>
          <w:tcPr>
            <w:tcW w:w="8373" w:type="dxa"/>
          </w:tcPr>
          <w:p w:rsidR="00F85C99" w:rsidP="002F6A28" w14:paraId="72C04B8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FDA Circular: Guidelines on the Maintenance of Importation and/or Distribution Records, and the Reporting of Product Complaints, Adverse Events, and Field Safety Corrective Actions for Medical Devices; (15 page(s), in English)</w:t>
            </w:r>
          </w:p>
          <w:p w:rsidR="000C3B6C" w:rsidRPr="000C3B6C" w:rsidP="002F6A28" w14:paraId="561DD38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434BE" w:rsidRPr="00CE6C29" w:rsidP="002F6A28" w14:paraId="5148DFD9" w14:textId="77777777">
            <w:pPr>
              <w:pBdr>
                <w:top w:val="none" w:sz="0" w:space="4" w:color="auto"/>
              </w:pBdr>
              <w:rPr>
                <w:iCs/>
              </w:rPr>
            </w:pPr>
            <w:hyperlink r:id="rId6" w:tgtFrame="_blank" w:history="1">
              <w:r w:rsidRPr="00CE6C29">
                <w:rPr>
                  <w:iCs/>
                  <w:color w:val="0000FF"/>
                  <w:u w:val="single"/>
                </w:rPr>
                <w:t>https://members.wto.org/crnattachments/2026/TBT/PHL/26_01689_00_e.pdf</w:t>
              </w:r>
            </w:hyperlink>
          </w:p>
          <w:p w:rsidR="003434BE" w:rsidRPr="00CE6C29" w:rsidP="002F6A28" w14:paraId="73C060B2" w14:textId="77777777">
            <w:pPr>
              <w:rPr>
                <w:iCs/>
              </w:rPr>
            </w:pPr>
            <w:hyperlink r:id="rId7" w:tgtFrame="_blank" w:history="1">
              <w:r w:rsidRPr="00CE6C29">
                <w:rPr>
                  <w:iCs/>
                  <w:color w:val="0000FF"/>
                  <w:u w:val="single"/>
                </w:rPr>
                <w:t>https://members.wto.org/crnattachments/2026/TBT/PHL/26_01689_01_e.pdf</w:t>
              </w:r>
            </w:hyperlink>
          </w:p>
          <w:p w:rsidR="003434BE" w:rsidRPr="00CE6C29" w:rsidP="002F6A28" w14:paraId="364A76D7" w14:textId="77777777">
            <w:pPr>
              <w:pBdr>
                <w:bottom w:val="none" w:sz="0" w:space="4" w:color="auto"/>
              </w:pBdr>
              <w:rPr>
                <w:iCs/>
              </w:rPr>
            </w:pPr>
            <w:hyperlink r:id="rId8" w:tgtFrame="_blank" w:history="1">
              <w:r w:rsidRPr="00CE6C29">
                <w:rPr>
                  <w:iCs/>
                  <w:color w:val="0000FF"/>
                  <w:u w:val="single"/>
                </w:rPr>
                <w:t>https://members.wto.org/crnattachments/2026/TBT/PHL/26_01689_02_e.pdf</w:t>
              </w:r>
            </w:hyperlink>
          </w:p>
          <w:p w:rsidR="003434BE" w:rsidRPr="00CE6C29" w:rsidP="002F6A28" w14:paraId="61BDD86A" w14:textId="77777777">
            <w:pPr>
              <w:rPr>
                <w:iCs/>
              </w:rPr>
            </w:pPr>
            <w:hyperlink r:id="rId9" w:tgtFrame="_blank" w:history="1">
              <w:r w:rsidRPr="00CE6C29">
                <w:rPr>
                  <w:iCs/>
                  <w:color w:val="0000FF"/>
                  <w:u w:val="single"/>
                </w:rPr>
                <w:t>https://www.fda.gov.ph/draft-for-comments-guidelines-on-the-maintenance-of-importation-and-or-distribution-records-and-the-reporting-of-product-complaints-adverse-events-and-field-safety-corrective-actions-for-medical/</w:t>
              </w:r>
            </w:hyperlink>
          </w:p>
          <w:p w:rsidR="00055C92" w:rsidP="002F6A28" w14:paraId="418AF814" w14:textId="77777777">
            <w:pPr>
              <w:rPr>
                <w:iCs/>
              </w:rPr>
            </w:pPr>
          </w:p>
          <w:p w:rsidR="003434BE" w:rsidRPr="00CE6C29" w:rsidP="002F6A28" w14:paraId="4B245132" w14:textId="1B2DA7CC">
            <w:pPr>
              <w:rPr>
                <w:iCs/>
              </w:rPr>
            </w:pPr>
            <w:r w:rsidRPr="00CE6C29">
              <w:rPr>
                <w:iCs/>
              </w:rPr>
              <w:t>Dr. Valeriano V. Timbang, Jr.</w:t>
            </w:r>
          </w:p>
          <w:p w:rsidR="003434BE" w:rsidRPr="00CE6C29" w:rsidP="002F6A28" w14:paraId="4B4BBA37" w14:textId="77777777">
            <w:pPr>
              <w:rPr>
                <w:iCs/>
              </w:rPr>
            </w:pPr>
            <w:r w:rsidRPr="00CE6C29">
              <w:rPr>
                <w:iCs/>
              </w:rPr>
              <w:t>Officer-in-Charge, Director IV</w:t>
            </w:r>
          </w:p>
          <w:p w:rsidR="003434BE" w:rsidRPr="00CE6C29" w:rsidP="002F6A28" w14:paraId="33339BA9" w14:textId="77777777">
            <w:pPr>
              <w:rPr>
                <w:iCs/>
              </w:rPr>
            </w:pPr>
            <w:r w:rsidRPr="00CE6C29">
              <w:rPr>
                <w:iCs/>
              </w:rPr>
              <w:t>Center for Device Regulation, Radiation Health, and Research (CDRRHR)</w:t>
            </w:r>
          </w:p>
          <w:p w:rsidR="003434BE" w:rsidRPr="00CE6C29" w:rsidP="002F6A28" w14:paraId="5DE76767" w14:textId="77777777">
            <w:pPr>
              <w:spacing w:after="120"/>
              <w:rPr>
                <w:iCs/>
              </w:rPr>
            </w:pPr>
            <w:r w:rsidRPr="00CE6C29">
              <w:rPr>
                <w:iCs/>
              </w:rPr>
              <w:t xml:space="preserve">Email: </w:t>
            </w:r>
            <w:hyperlink r:id="rId10" w:history="1">
              <w:r w:rsidRPr="00CE6C29">
                <w:rPr>
                  <w:iCs/>
                  <w:color w:val="0000FF"/>
                  <w:u w:val="single"/>
                </w:rPr>
                <w:t>cdrrhr@fda.gov.ph</w:t>
              </w:r>
            </w:hyperlink>
          </w:p>
        </w:tc>
      </w:tr>
      <w:tr w14:paraId="0022FF1B" w14:textId="77777777" w:rsidTr="00DB13FE">
        <w:tblPrEx>
          <w:tblW w:w="5000" w:type="pct"/>
          <w:tblLayout w:type="fixed"/>
          <w:tblLook w:val="0000"/>
        </w:tblPrEx>
        <w:tc>
          <w:tcPr>
            <w:tcW w:w="607" w:type="dxa"/>
          </w:tcPr>
          <w:p w:rsidR="00F85C99" w:rsidRPr="002F6A28" w:rsidP="002F6A28" w14:paraId="139A6662" w14:textId="77777777">
            <w:pPr>
              <w:spacing w:before="120" w:after="120"/>
              <w:jc w:val="left"/>
              <w:rPr>
                <w:b/>
              </w:rPr>
            </w:pPr>
            <w:r w:rsidRPr="002F6A28">
              <w:rPr>
                <w:b/>
              </w:rPr>
              <w:t>6.</w:t>
            </w:r>
          </w:p>
        </w:tc>
        <w:tc>
          <w:tcPr>
            <w:tcW w:w="8373" w:type="dxa"/>
          </w:tcPr>
          <w:p w:rsidR="00F85C99" w:rsidRPr="002F6A28" w:rsidP="002F6A28" w14:paraId="25567068" w14:textId="77777777">
            <w:pPr>
              <w:spacing w:before="120" w:after="120"/>
              <w:rPr>
                <w:b/>
              </w:rPr>
            </w:pPr>
            <w:r w:rsidRPr="002F6A28">
              <w:rPr>
                <w:b/>
              </w:rPr>
              <w:t>Description of content:</w:t>
            </w:r>
            <w:r w:rsidRPr="00C379C8" w:rsidR="00FE448B">
              <w:t xml:space="preserve"> The proposed FDA Circular provides guidelines on the maintenance of importation and/or distribution records and the reporting of product complaints, adverse events (Aes), and field safety corrective actions (FSCAs) for medical devices. It applies to all registered medical devices and in vitro diagnostic (IVD) medical devices placed on the Philippine market. The Circular defines the responsibilities of Marketing Authorization Holders (MAHs) and dealers in maintaining traceability records and supporting post-market surveillance (PMS). The Circular also sets clear criteria for determining reportable AEs and FSCAs. It establishes standardized reporting formats, timelines, and submission procedures for AE and FSCA notifications to the FDA. The Circular provides guidance on complaint handling, record retention, and follow-up reporting. It further outlines procedures for FSCA initiation, implementation, and closure, including FDA review and concurrence. The measure aligns national post-market </w:t>
            </w:r>
            <w:r w:rsidRPr="00C379C8" w:rsidR="00FE448B">
              <w:t>requirements with the ASEAN Medical Device Directive (AMDD), particularly Annex 5 on the Post-Marketing Alert System.</w:t>
            </w:r>
          </w:p>
        </w:tc>
      </w:tr>
      <w:tr w14:paraId="343E2818" w14:textId="77777777" w:rsidTr="00DB13FE">
        <w:tblPrEx>
          <w:tblW w:w="5000" w:type="pct"/>
          <w:tblLayout w:type="fixed"/>
          <w:tblLook w:val="0000"/>
        </w:tblPrEx>
        <w:tc>
          <w:tcPr>
            <w:tcW w:w="607" w:type="dxa"/>
          </w:tcPr>
          <w:p w:rsidR="00F85C99" w:rsidRPr="002F6A28" w:rsidP="002F6A28" w14:paraId="59A1608F" w14:textId="77777777">
            <w:pPr>
              <w:spacing w:before="120" w:after="120"/>
              <w:jc w:val="left"/>
              <w:rPr>
                <w:b/>
              </w:rPr>
            </w:pPr>
            <w:r w:rsidRPr="002F6A28">
              <w:rPr>
                <w:b/>
              </w:rPr>
              <w:t>7.</w:t>
            </w:r>
          </w:p>
        </w:tc>
        <w:tc>
          <w:tcPr>
            <w:tcW w:w="8373" w:type="dxa"/>
          </w:tcPr>
          <w:p w:rsidR="00F85C99" w:rsidRPr="002F6A28" w:rsidP="002F6A28" w14:paraId="1F023F2B" w14:textId="77777777">
            <w:pPr>
              <w:spacing w:before="120" w:after="120"/>
              <w:rPr>
                <w:b/>
              </w:rPr>
            </w:pPr>
            <w:r w:rsidRPr="002F6A28">
              <w:rPr>
                <w:b/>
              </w:rPr>
              <w:t>Objective and rationale, including the nature of urgent problems where applicable:</w:t>
            </w:r>
            <w:r w:rsidRPr="00C379C8" w:rsidR="00EE3A11">
              <w:t xml:space="preserve"> The objective of the proposed FDA Circular is to strengthen the PMS of medical devices to ensure the continued safety, quality, and performance of products placed on the Philippine market. The measure addresses gaps arising from inconsistent record-keeping and non-uniform reporting of product complaints, AEs, and FSCAs. Without standardized requirements, the ability of the regulatory authority to promptly identify safety signals and implement risk mitigation measures may be limited. The Circular establishes clear obligations for MAHs and dealers, thereby improving traceability and regulatory oversight. It also supports timely regulatory intervention in cases involving serious risks to public health. It is aligned with international best practices and commitments under the AMDD. No urgent or emergency situation is being addressed; rather, the measure is preventive in nature. Overall, the regulation seeks to enhance patient safety and public confidence in medical devices through a transparent and harmonized post-market regulatory framework.</w:t>
            </w:r>
          </w:p>
        </w:tc>
      </w:tr>
      <w:tr w14:paraId="190FA4A5" w14:textId="77777777" w:rsidTr="00DB13FE">
        <w:tblPrEx>
          <w:tblW w:w="5000" w:type="pct"/>
          <w:tblLayout w:type="fixed"/>
          <w:tblLook w:val="0000"/>
        </w:tblPrEx>
        <w:tc>
          <w:tcPr>
            <w:tcW w:w="607" w:type="dxa"/>
          </w:tcPr>
          <w:p w:rsidR="00F85C99" w:rsidRPr="002F6A28" w:rsidP="009E75ED" w14:paraId="4F94E188" w14:textId="77777777">
            <w:pPr>
              <w:spacing w:before="120" w:after="120"/>
              <w:jc w:val="left"/>
              <w:rPr>
                <w:b/>
              </w:rPr>
            </w:pPr>
            <w:r w:rsidRPr="002F6A28">
              <w:rPr>
                <w:b/>
              </w:rPr>
              <w:t>8.</w:t>
            </w:r>
          </w:p>
        </w:tc>
        <w:tc>
          <w:tcPr>
            <w:tcW w:w="8373" w:type="dxa"/>
          </w:tcPr>
          <w:p w:rsidR="000C3B6C" w:rsidRPr="00EC00D2" w:rsidP="007F13E8" w14:paraId="1D9CFCD1" w14:textId="77777777">
            <w:pPr>
              <w:spacing w:before="120" w:after="120"/>
              <w:rPr>
                <w:bCs/>
              </w:rPr>
            </w:pPr>
            <w:r w:rsidRPr="002F6A28">
              <w:rPr>
                <w:b/>
              </w:rPr>
              <w:t>Relevant documents:</w:t>
            </w:r>
            <w:r w:rsidRPr="002F6A28" w:rsidR="00EE3A11">
              <w:t xml:space="preserve"> </w:t>
            </w:r>
          </w:p>
          <w:p w:rsidR="00EE3A11" w:rsidRPr="002F6A28" w:rsidP="007F13E8" w14:paraId="2A9BB2AC" w14:textId="77777777">
            <w:pPr>
              <w:numPr>
                <w:ilvl w:val="0"/>
                <w:numId w:val="16"/>
              </w:numPr>
              <w:spacing w:before="120" w:after="120"/>
            </w:pPr>
            <w:r w:rsidRPr="002F6A28">
              <w:t>Republic Act 9711 "Food and Drug Administration (FDA) Act of 2009"</w:t>
            </w:r>
          </w:p>
          <w:p w:rsidR="00EE3A11" w:rsidRPr="002F6A28" w:rsidP="007F13E8" w14:paraId="322234AC" w14:textId="77777777">
            <w:pPr>
              <w:numPr>
                <w:ilvl w:val="0"/>
                <w:numId w:val="16"/>
              </w:numPr>
              <w:spacing w:before="120" w:after="120"/>
            </w:pPr>
            <w:r w:rsidRPr="002F6A28">
              <w:t>Administrative Order No. 2018-0002 "Guidelines Governing the Issuance of an Authorization for a Medical Device based on the ASEAN Harmonized Technical Requirements</w:t>
            </w:r>
          </w:p>
          <w:p w:rsidR="00EE3A11" w:rsidRPr="002F6A28" w:rsidP="007F13E8" w14:paraId="654B6933" w14:textId="77777777">
            <w:pPr>
              <w:numPr>
                <w:ilvl w:val="0"/>
                <w:numId w:val="16"/>
              </w:numPr>
              <w:spacing w:before="120" w:after="120"/>
            </w:pPr>
            <w:r w:rsidRPr="002F6A28">
              <w:t>ASEAN Medical Device Directive (AMDD). September 2015. ASEAN Agreement on Medical Device Directive.</w:t>
            </w:r>
          </w:p>
        </w:tc>
      </w:tr>
      <w:tr w14:paraId="3C41CDB7" w14:textId="77777777" w:rsidTr="00DB13FE">
        <w:tblPrEx>
          <w:tblW w:w="5000" w:type="pct"/>
          <w:tblLayout w:type="fixed"/>
          <w:tblLook w:val="0000"/>
        </w:tblPrEx>
        <w:tc>
          <w:tcPr>
            <w:tcW w:w="607" w:type="dxa"/>
          </w:tcPr>
          <w:p w:rsidR="00EE3A11" w:rsidRPr="002F6A28" w:rsidP="002F6A28" w14:paraId="082BFCA0" w14:textId="77777777">
            <w:pPr>
              <w:spacing w:before="120" w:after="120"/>
              <w:jc w:val="left"/>
              <w:rPr>
                <w:b/>
              </w:rPr>
            </w:pPr>
            <w:r w:rsidRPr="002F6A28">
              <w:rPr>
                <w:b/>
              </w:rPr>
              <w:t>9.</w:t>
            </w:r>
          </w:p>
        </w:tc>
        <w:tc>
          <w:tcPr>
            <w:tcW w:w="8373" w:type="dxa"/>
          </w:tcPr>
          <w:p w:rsidR="00EE3A11" w:rsidRPr="002F6A28" w:rsidP="008953C4" w14:paraId="1A873FD3" w14:textId="77777777">
            <w:pPr>
              <w:spacing w:before="120" w:after="120"/>
            </w:pPr>
            <w:r w:rsidRPr="002F6A28">
              <w:rPr>
                <w:b/>
              </w:rPr>
              <w:t>Proposed date of adoption:</w:t>
            </w:r>
            <w:r w:rsidRPr="00C379C8">
              <w:t xml:space="preserve"> To be determined</w:t>
            </w:r>
          </w:p>
          <w:p w:rsidR="00EE3A11" w:rsidRPr="002F6A28" w:rsidP="008953C4" w14:paraId="51A82FE2" w14:textId="77777777">
            <w:pPr>
              <w:spacing w:after="120"/>
            </w:pPr>
            <w:r w:rsidRPr="002F6A28">
              <w:rPr>
                <w:b/>
              </w:rPr>
              <w:t>Proposed date of entry into force:</w:t>
            </w:r>
            <w:r w:rsidRPr="00C379C8">
              <w:t xml:space="preserve"> Fifteen (15) days from the date of its publication in the Official Gazette or in any national newspaper of general circulation.</w:t>
            </w:r>
          </w:p>
        </w:tc>
      </w:tr>
      <w:tr w14:paraId="202CE9F5" w14:textId="77777777" w:rsidTr="00DB13FE">
        <w:tblPrEx>
          <w:tblW w:w="5000" w:type="pct"/>
          <w:tblLayout w:type="fixed"/>
          <w:tblLook w:val="0000"/>
        </w:tblPrEx>
        <w:tc>
          <w:tcPr>
            <w:tcW w:w="607" w:type="dxa"/>
            <w:tcBorders>
              <w:bottom w:val="double" w:sz="4" w:space="0" w:color="auto"/>
            </w:tcBorders>
          </w:tcPr>
          <w:p w:rsidR="00F85C99" w:rsidRPr="002F6A28" w:rsidP="002F6A28" w14:paraId="437DAC7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74D1F0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4AD11CE" w14:textId="77777777">
            <w:pPr>
              <w:spacing w:before="120" w:after="120"/>
              <w:rPr>
                <w:bCs/>
              </w:rPr>
            </w:pPr>
            <w:r w:rsidRPr="002F6A28">
              <w:rPr>
                <w:b/>
              </w:rPr>
              <w:t>Final date for comments:</w:t>
            </w:r>
            <w:r w:rsidRPr="00C379C8" w:rsidR="00EE3A11">
              <w:t xml:space="preserve"> 25 May 2026</w:t>
            </w:r>
          </w:p>
          <w:p w:rsidR="000C3B6C" w:rsidRPr="00E3324D" w:rsidP="000C3B6C" w14:paraId="2E91151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EE37DA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586F7F" w14:textId="77777777">
            <w:r w:rsidRPr="00CE6C29">
              <w:t>Mr. Neil P. Catajay</w:t>
            </w:r>
          </w:p>
          <w:p w:rsidR="00CE6C29" w:rsidRPr="00CE6C29" w:rsidP="000C3B6C" w14:paraId="03BA3056" w14:textId="77777777">
            <w:r w:rsidRPr="00CE6C29">
              <w:t>Director</w:t>
            </w:r>
          </w:p>
          <w:p w:rsidR="00CE6C29" w:rsidRPr="00CE6C29" w:rsidP="000C3B6C" w14:paraId="18DCF483" w14:textId="77777777">
            <w:r w:rsidRPr="00CE6C29">
              <w:t>Bureau of Philippine Standards</w:t>
            </w:r>
          </w:p>
          <w:p w:rsidR="00CE6C29" w:rsidRPr="00CE6C29" w:rsidP="000C3B6C" w14:paraId="6F9D11F0" w14:textId="77777777">
            <w:r w:rsidRPr="00CE6C29">
              <w:t>Department of Trade and Industry</w:t>
            </w:r>
          </w:p>
          <w:p w:rsidR="00CE6C29" w:rsidRPr="00CE6C29" w:rsidP="000C3B6C" w14:paraId="77C627E9" w14:textId="77777777">
            <w:r w:rsidRPr="00CE6C29">
              <w:t>3F Trade and Industry Building</w:t>
            </w:r>
          </w:p>
          <w:p w:rsidR="00CE6C29" w:rsidRPr="00CE6C29" w:rsidP="000C3B6C" w14:paraId="07F5FC13" w14:textId="77777777">
            <w:r w:rsidRPr="00CE6C29">
              <w:t>361 Sen. Gil Puyat Avenue</w:t>
            </w:r>
          </w:p>
          <w:p w:rsidR="00CE6C29" w:rsidRPr="00CE6C29" w:rsidP="000C3B6C" w14:paraId="02D42412" w14:textId="77777777">
            <w:r w:rsidRPr="00CE6C29">
              <w:t>Makati City</w:t>
            </w:r>
          </w:p>
          <w:p w:rsidR="00CE6C29" w:rsidRPr="00CE6C29" w:rsidP="000C3B6C" w14:paraId="1F787EBD" w14:textId="77777777">
            <w:r w:rsidRPr="00CE6C29">
              <w:t>Philippines</w:t>
            </w:r>
          </w:p>
          <w:p w:rsidR="00CE6C29" w:rsidRPr="00CE6C29" w:rsidP="000C3B6C" w14:paraId="6CA2D4FA" w14:textId="77777777">
            <w:r w:rsidRPr="00CE6C29">
              <w:t>1200</w:t>
            </w:r>
          </w:p>
          <w:p w:rsidR="00CE6C29" w:rsidRPr="00CE6C29" w:rsidP="000C3B6C" w14:paraId="3DD17421" w14:textId="77777777">
            <w:r w:rsidRPr="00CE6C29">
              <w:t>Tel: (632) 751 4700; (632) 7913128</w:t>
            </w:r>
          </w:p>
          <w:p w:rsidR="00CE6C29" w:rsidRPr="00CE6C29" w:rsidP="000C3B6C" w14:paraId="2760F2D4" w14:textId="77777777">
            <w:r w:rsidRPr="00CE6C29">
              <w:t xml:space="preserve">Email: </w:t>
            </w:r>
            <w:hyperlink r:id="rId11" w:history="1">
              <w:r w:rsidRPr="00CE6C29">
                <w:rPr>
                  <w:color w:val="0000FF"/>
                  <w:u w:val="single"/>
                </w:rPr>
                <w:t>bps@dti.gov.ph</w:t>
              </w:r>
            </w:hyperlink>
          </w:p>
          <w:p w:rsidR="00CE6C29" w:rsidRPr="00CE6C29" w:rsidP="000C3B6C" w14:paraId="4D506484" w14:textId="77777777">
            <w:pPr>
              <w:spacing w:after="120"/>
            </w:pPr>
            <w:r w:rsidRPr="00CE6C29">
              <w:t xml:space="preserve">Website: </w:t>
            </w:r>
            <w:hyperlink r:id="rId12" w:tgtFrame="_blank" w:history="1">
              <w:r w:rsidRPr="00CE6C29">
                <w:rPr>
                  <w:color w:val="0000FF"/>
                  <w:u w:val="single"/>
                </w:rPr>
                <w:t>http://www.bps.dti.gov.ph</w:t>
              </w:r>
            </w:hyperlink>
          </w:p>
        </w:tc>
      </w:tr>
    </w:tbl>
    <w:p w:rsidR="00EE3A11" w:rsidRPr="002F6A28" w:rsidP="00887259" w14:paraId="761812D9"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20CBE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DC4E4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9D45B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10794A" w14:textId="77777777">
    <w:pPr>
      <w:pStyle w:val="Header"/>
      <w:pBdr>
        <w:bottom w:val="single" w:sz="4" w:space="1" w:color="auto"/>
      </w:pBdr>
      <w:tabs>
        <w:tab w:val="clear" w:pos="4513"/>
        <w:tab w:val="clear" w:pos="9027"/>
      </w:tabs>
      <w:jc w:val="center"/>
    </w:pPr>
    <w:r w:rsidRPr="002F6A28">
      <w:t>tbtSymbol</w:t>
    </w:r>
  </w:p>
  <w:p w:rsidR="009239F7" w:rsidRPr="002F6A28" w:rsidP="009239F7" w14:paraId="3F09C80D" w14:textId="77777777">
    <w:pPr>
      <w:pStyle w:val="Header"/>
      <w:pBdr>
        <w:bottom w:val="single" w:sz="4" w:space="1" w:color="auto"/>
      </w:pBdr>
      <w:tabs>
        <w:tab w:val="clear" w:pos="4513"/>
        <w:tab w:val="clear" w:pos="9027"/>
      </w:tabs>
      <w:jc w:val="center"/>
    </w:pPr>
  </w:p>
  <w:p w:rsidR="009239F7" w:rsidRPr="002F6A28" w:rsidP="009239F7" w14:paraId="754C6F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04EB36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AC037B" w14:textId="77777777">
    <w:pPr>
      <w:pStyle w:val="Header"/>
      <w:pBdr>
        <w:bottom w:val="single" w:sz="4" w:space="1" w:color="auto"/>
      </w:pBdr>
      <w:tabs>
        <w:tab w:val="clear" w:pos="4513"/>
        <w:tab w:val="clear" w:pos="9027"/>
      </w:tabs>
      <w:jc w:val="center"/>
    </w:pPr>
    <w:bookmarkStart w:id="0" w:name="spsSymbolHeader"/>
    <w:r w:rsidRPr="002F6A28">
      <w:t>G/TBT/N/PHL/360</w:t>
    </w:r>
    <w:bookmarkEnd w:id="0"/>
  </w:p>
  <w:p w:rsidR="009239F7" w:rsidRPr="002F6A28" w:rsidP="009239F7" w14:paraId="0B0E6838" w14:textId="77777777">
    <w:pPr>
      <w:pStyle w:val="Header"/>
      <w:pBdr>
        <w:bottom w:val="single" w:sz="4" w:space="1" w:color="auto"/>
      </w:pBdr>
      <w:tabs>
        <w:tab w:val="clear" w:pos="4513"/>
        <w:tab w:val="clear" w:pos="9027"/>
      </w:tabs>
      <w:jc w:val="center"/>
    </w:pPr>
  </w:p>
  <w:p w:rsidR="009239F7" w:rsidRPr="002F6A28" w:rsidP="009239F7" w14:paraId="42C0DA5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B85766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0BDF7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5C08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1B53053" w14:textId="77777777">
          <w:pPr>
            <w:jc w:val="right"/>
            <w:rPr>
              <w:b/>
              <w:color w:val="FF0000"/>
              <w:szCs w:val="16"/>
            </w:rPr>
          </w:pPr>
        </w:p>
      </w:tc>
    </w:tr>
    <w:bookmarkEnd w:id="1"/>
    <w:tr w14:paraId="1E635CD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88565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65CC82" w14:textId="77777777">
          <w:pPr>
            <w:jc w:val="right"/>
            <w:rPr>
              <w:b/>
              <w:szCs w:val="16"/>
            </w:rPr>
          </w:pPr>
        </w:p>
      </w:tc>
    </w:tr>
    <w:tr w14:paraId="20FA223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4ED4DC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ECD31BD" w14:textId="77777777">
          <w:pPr>
            <w:jc w:val="right"/>
            <w:rPr>
              <w:b/>
              <w:szCs w:val="16"/>
            </w:rPr>
          </w:pPr>
          <w:bookmarkStart w:id="2" w:name="bmkSymbols"/>
          <w:r w:rsidRPr="002F6A28">
            <w:rPr>
              <w:b/>
              <w:szCs w:val="16"/>
            </w:rPr>
            <w:t>G/TBT/N/PHL/360</w:t>
          </w:r>
          <w:bookmarkEnd w:id="2"/>
        </w:p>
      </w:tc>
    </w:tr>
    <w:tr w14:paraId="45E60CF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6FE4F19" w14:textId="77777777"/>
      </w:tc>
      <w:tc>
        <w:tcPr>
          <w:tcW w:w="5448" w:type="dxa"/>
          <w:gridSpan w:val="2"/>
          <w:shd w:val="clear" w:color="auto" w:fill="FFFFFF"/>
          <w:tcMar>
            <w:left w:w="108" w:type="dxa"/>
            <w:right w:w="108" w:type="dxa"/>
          </w:tcMar>
          <w:vAlign w:val="center"/>
        </w:tcPr>
        <w:p w:rsidR="00ED54E0" w:rsidRPr="009239F7" w:rsidP="00B801E9" w14:paraId="552D4CBF" w14:textId="77777777">
          <w:pPr>
            <w:jc w:val="right"/>
            <w:rPr>
              <w:szCs w:val="16"/>
            </w:rPr>
          </w:pPr>
          <w:bookmarkStart w:id="3" w:name="spsDateDistribution"/>
          <w:bookmarkStart w:id="4" w:name="bmkDate"/>
          <w:r w:rsidRPr="009239F7">
            <w:rPr>
              <w:szCs w:val="16"/>
            </w:rPr>
            <w:t>26 March 2026</w:t>
          </w:r>
          <w:bookmarkEnd w:id="3"/>
          <w:bookmarkEnd w:id="4"/>
        </w:p>
      </w:tc>
    </w:tr>
    <w:tr w14:paraId="40447F6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8CF1F8" w14:textId="77777777">
          <w:pPr>
            <w:jc w:val="left"/>
            <w:rPr>
              <w:b/>
            </w:rPr>
          </w:pPr>
          <w:bookmarkStart w:id="5" w:name="bmkSerial"/>
          <w:r>
            <w:rPr>
              <w:rFonts w:ascii="Verdana" w:eastAsia="Verdana" w:hAnsi="Verdana" w:cs="Verdana"/>
              <w:b w:val="0"/>
              <w:color w:val="FF0000"/>
              <w:sz w:val="18"/>
            </w:rPr>
            <w:t>(26-2411)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B2B897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CC1A9E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ED96E7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66F73F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CA083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402677618">
    <w:abstractNumId w:val="9"/>
  </w:num>
  <w:num w:numId="2" w16cid:durableId="769545719">
    <w:abstractNumId w:val="7"/>
  </w:num>
  <w:num w:numId="3" w16cid:durableId="25178163">
    <w:abstractNumId w:val="6"/>
  </w:num>
  <w:num w:numId="4" w16cid:durableId="1520773657">
    <w:abstractNumId w:val="5"/>
  </w:num>
  <w:num w:numId="5" w16cid:durableId="37357806">
    <w:abstractNumId w:val="4"/>
  </w:num>
  <w:num w:numId="6" w16cid:durableId="15162464">
    <w:abstractNumId w:val="12"/>
  </w:num>
  <w:num w:numId="7" w16cid:durableId="1342077932">
    <w:abstractNumId w:val="11"/>
  </w:num>
  <w:num w:numId="8" w16cid:durableId="645204165">
    <w:abstractNumId w:val="10"/>
  </w:num>
  <w:num w:numId="9" w16cid:durableId="3160370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653156">
    <w:abstractNumId w:val="13"/>
  </w:num>
  <w:num w:numId="11" w16cid:durableId="55204099">
    <w:abstractNumId w:val="8"/>
  </w:num>
  <w:num w:numId="12" w16cid:durableId="1364205742">
    <w:abstractNumId w:val="3"/>
  </w:num>
  <w:num w:numId="13" w16cid:durableId="1533298385">
    <w:abstractNumId w:val="2"/>
  </w:num>
  <w:num w:numId="14" w16cid:durableId="439034484">
    <w:abstractNumId w:val="1"/>
  </w:num>
  <w:num w:numId="15" w16cid:durableId="818885201">
    <w:abstractNumId w:val="0"/>
  </w:num>
  <w:num w:numId="16" w16cid:durableId="6629746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5C92"/>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34BE"/>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E01"/>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869F1"/>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11418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cdrrhr@fda.gov.ph" TargetMode="External" /><Relationship Id="rId11" Type="http://schemas.openxmlformats.org/officeDocument/2006/relationships/hyperlink" Target="mailto:bps@dti.gov.ph" TargetMode="External" /><Relationship Id="rId12" Type="http://schemas.openxmlformats.org/officeDocument/2006/relationships/hyperlink" Target="http://www.bps.dti.gov.ph"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PHL/26_01689_00_e.pdf" TargetMode="External" /><Relationship Id="rId7" Type="http://schemas.openxmlformats.org/officeDocument/2006/relationships/hyperlink" Target="https://members.wto.org/crnattachments/2026/TBT/PHL/26_01689_01_e.pdf" TargetMode="External" /><Relationship Id="rId8" Type="http://schemas.openxmlformats.org/officeDocument/2006/relationships/hyperlink" Target="https://members.wto.org/crnattachments/2026/TBT/PHL/26_01689_02_e.pdf" TargetMode="External" /><Relationship Id="rId9" Type="http://schemas.openxmlformats.org/officeDocument/2006/relationships/hyperlink" Target="https://www.fda.gov.ph/draft-for-comments-guidelines-on-the-maintenance-of-importation-and-or-distribution-records-and-the-reporting-of-product-complaints-adverse-events-and-field-safety-corrective-actions-for-medica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83FE5E2-14CB-446F-9810-DB036819946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5</TotalTime>
  <Pages>2</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2026-03-26T08:52:00Z</dcterms:created>
  <dcterms:modified xsi:type="dcterms:W3CDTF">2026-03-26T08:54:00Z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