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8B64C78" w14:textId="77777777">
      <w:pPr>
        <w:pStyle w:val="Title"/>
        <w:rPr>
          <w:caps w:val="0"/>
          <w:kern w:val="0"/>
        </w:rPr>
      </w:pPr>
      <w:r w:rsidRPr="002F6A28">
        <w:rPr>
          <w:caps w:val="0"/>
          <w:kern w:val="0"/>
        </w:rPr>
        <w:t>NOTIFICATION</w:t>
      </w:r>
    </w:p>
    <w:p w:rsidR="009239F7" w:rsidRPr="002F6A28" w:rsidP="002F6A28" w14:paraId="44A05B67" w14:textId="77777777">
      <w:pPr>
        <w:jc w:val="center"/>
      </w:pPr>
      <w:r w:rsidRPr="002F6A28">
        <w:t>The following notification is being circulated in accordance with Article 10.6</w:t>
      </w:r>
    </w:p>
    <w:p w:rsidR="009239F7" w:rsidRPr="002F6A28" w:rsidP="002F6A28" w14:paraId="56DF670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33A659" w14:textId="77777777" w:rsidTr="00DB13FE">
        <w:tblPrEx>
          <w:tblW w:w="5000" w:type="pct"/>
          <w:tblLayout w:type="fixed"/>
          <w:tblLook w:val="0000"/>
        </w:tblPrEx>
        <w:tc>
          <w:tcPr>
            <w:tcW w:w="607" w:type="dxa"/>
            <w:tcBorders>
              <w:top w:val="double" w:sz="4" w:space="0" w:color="auto"/>
            </w:tcBorders>
          </w:tcPr>
          <w:p w:rsidR="00F85C99" w:rsidRPr="002F6A28" w:rsidP="002F6A28" w14:paraId="537FF42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EC70F27"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659D3CD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CD7BA2" w14:textId="77777777" w:rsidTr="00DB13FE">
        <w:tblPrEx>
          <w:tblW w:w="5000" w:type="pct"/>
          <w:tblLayout w:type="fixed"/>
          <w:tblLook w:val="0000"/>
        </w:tblPrEx>
        <w:tc>
          <w:tcPr>
            <w:tcW w:w="607" w:type="dxa"/>
          </w:tcPr>
          <w:p w:rsidR="00F85C99" w:rsidRPr="002F6A28" w:rsidP="002F6A28" w14:paraId="44817E8C" w14:textId="77777777">
            <w:pPr>
              <w:spacing w:before="120" w:after="120"/>
              <w:jc w:val="left"/>
            </w:pPr>
            <w:r w:rsidRPr="002F6A28">
              <w:rPr>
                <w:b/>
              </w:rPr>
              <w:t>2.</w:t>
            </w:r>
          </w:p>
        </w:tc>
        <w:tc>
          <w:tcPr>
            <w:tcW w:w="8373" w:type="dxa"/>
          </w:tcPr>
          <w:p w:rsidR="00F85C99" w:rsidRPr="002F6A28" w:rsidP="000C3B6C" w14:paraId="36E08F03" w14:textId="77777777">
            <w:pPr>
              <w:spacing w:before="120" w:after="120"/>
            </w:pPr>
            <w:r w:rsidRPr="002F6A28">
              <w:rPr>
                <w:b/>
              </w:rPr>
              <w:t>Agency responsible:</w:t>
            </w:r>
            <w:r w:rsidRPr="00C379C8" w:rsidR="00EE3A11">
              <w:t xml:space="preserve"> </w:t>
            </w:r>
          </w:p>
          <w:p w:rsidR="00EE3A11" w:rsidRPr="00C379C8" w:rsidP="000C3B6C" w14:paraId="5FDB2ADF" w14:textId="77777777">
            <w:r w:rsidRPr="00C379C8">
              <w:t>European Commission</w:t>
            </w:r>
          </w:p>
          <w:p w:rsidR="00EE3A11" w:rsidRPr="00C379C8" w:rsidP="000C3B6C" w14:paraId="7608A378" w14:textId="77777777">
            <w:r w:rsidRPr="00C379C8">
              <w:t>EU-TBT Enquiry Point,</w:t>
            </w:r>
          </w:p>
          <w:p w:rsidR="00EE3A11" w:rsidRPr="00C379C8" w:rsidP="000C3B6C" w14:paraId="44743977" w14:textId="77777777">
            <w:r w:rsidRPr="00C379C8">
              <w:t>Fax: +(32) 2 299 80 43,</w:t>
            </w:r>
          </w:p>
          <w:p w:rsidR="00EE3A11" w:rsidRPr="00C379C8" w:rsidP="000C3B6C" w14:paraId="39CD6246" w14:textId="77777777">
            <w:r w:rsidRPr="00C379C8">
              <w:t xml:space="preserve">E-mail: </w:t>
            </w:r>
            <w:hyperlink r:id="rId6" w:history="1">
              <w:r w:rsidRPr="00C379C8">
                <w:rPr>
                  <w:color w:val="0000FF"/>
                  <w:u w:val="single"/>
                </w:rPr>
                <w:t>grow-eu-tbt@ec.europa.eu</w:t>
              </w:r>
            </w:hyperlink>
          </w:p>
          <w:p w:rsidR="00EE3A11" w:rsidRPr="00C379C8" w:rsidP="000C3B6C" w14:paraId="173FDB51"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02A48BFE" w14:textId="77777777" w:rsidTr="00DB13FE">
        <w:tblPrEx>
          <w:tblW w:w="5000" w:type="pct"/>
          <w:tblLayout w:type="fixed"/>
          <w:tblLook w:val="0000"/>
        </w:tblPrEx>
        <w:tc>
          <w:tcPr>
            <w:tcW w:w="607" w:type="dxa"/>
          </w:tcPr>
          <w:p w:rsidR="00F85C99" w:rsidRPr="002F6A28" w:rsidP="002F6A28" w14:paraId="710CBB15" w14:textId="77777777">
            <w:pPr>
              <w:spacing w:before="120" w:after="120"/>
              <w:jc w:val="left"/>
              <w:rPr>
                <w:b/>
              </w:rPr>
            </w:pPr>
            <w:r w:rsidRPr="002F6A28">
              <w:rPr>
                <w:b/>
              </w:rPr>
              <w:t>3.</w:t>
            </w:r>
          </w:p>
        </w:tc>
        <w:tc>
          <w:tcPr>
            <w:tcW w:w="8373" w:type="dxa"/>
          </w:tcPr>
          <w:p w:rsidR="00F85C99" w:rsidRPr="0058336F" w:rsidP="002F6A28" w14:paraId="10720E8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77EBFCD" w14:textId="77777777" w:rsidTr="00DB13FE">
        <w:tblPrEx>
          <w:tblW w:w="5000" w:type="pct"/>
          <w:tblLayout w:type="fixed"/>
          <w:tblLook w:val="0000"/>
        </w:tblPrEx>
        <w:tc>
          <w:tcPr>
            <w:tcW w:w="607" w:type="dxa"/>
          </w:tcPr>
          <w:p w:rsidR="00F85C99" w:rsidRPr="002F6A28" w:rsidP="002F6A28" w14:paraId="7D9B4A2A" w14:textId="77777777">
            <w:pPr>
              <w:spacing w:before="120" w:after="120"/>
              <w:jc w:val="left"/>
            </w:pPr>
            <w:r w:rsidRPr="002F6A28">
              <w:rPr>
                <w:b/>
              </w:rPr>
              <w:t>4.</w:t>
            </w:r>
          </w:p>
        </w:tc>
        <w:tc>
          <w:tcPr>
            <w:tcW w:w="8373" w:type="dxa"/>
          </w:tcPr>
          <w:p w:rsidR="00F85C99" w:rsidRPr="002F6A28" w:rsidP="002F6A28" w14:paraId="4979249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Biocidal products</w:t>
            </w:r>
          </w:p>
        </w:tc>
      </w:tr>
      <w:tr w14:paraId="5E0588DA" w14:textId="77777777" w:rsidTr="00DB13FE">
        <w:tblPrEx>
          <w:tblW w:w="5000" w:type="pct"/>
          <w:tblLayout w:type="fixed"/>
          <w:tblLook w:val="0000"/>
        </w:tblPrEx>
        <w:tc>
          <w:tcPr>
            <w:tcW w:w="607" w:type="dxa"/>
          </w:tcPr>
          <w:p w:rsidR="00F85C99" w:rsidRPr="002F6A28" w:rsidP="002F6A28" w14:paraId="649105B8" w14:textId="77777777">
            <w:pPr>
              <w:spacing w:before="120" w:after="120"/>
              <w:jc w:val="left"/>
            </w:pPr>
            <w:r w:rsidRPr="002F6A28">
              <w:rPr>
                <w:b/>
              </w:rPr>
              <w:t>5.</w:t>
            </w:r>
          </w:p>
        </w:tc>
        <w:tc>
          <w:tcPr>
            <w:tcW w:w="8373" w:type="dxa"/>
          </w:tcPr>
          <w:p w:rsidR="00F85C99" w:rsidP="002F6A28" w14:paraId="2A95536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on the non-approval of poly(dimethyloctadecyl[3-(trihydroxysilyl)propyl]ammonium chloride) generated from dimethyloctadecyl[3-(trimethoxysilyl)propyl]ammonium chloride as an existing active substance for use in biocidal products of product types 2, 7 and 9 in accordance with Regulation (EU) No 528/2012 of the European Parliament and of the Council; (4 page(s), in English)</w:t>
            </w:r>
          </w:p>
          <w:p w:rsidR="000C3B6C" w:rsidRPr="000C3B6C" w:rsidP="002F6A28" w14:paraId="3DADCEB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E621D" w:rsidRPr="00CE6C29" w:rsidP="002F6A28" w14:paraId="4FE12291"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https://members.wto.org/crnattachments/2026/TBT/EEC/26_01599_00_e.pdf</w:t>
              </w:r>
            </w:hyperlink>
          </w:p>
          <w:p w:rsidR="002E621D" w:rsidRPr="00CE6C29" w:rsidP="002F6A28" w14:paraId="0AF802D3" w14:textId="77777777">
            <w:pPr>
              <w:rPr>
                <w:iCs/>
              </w:rPr>
            </w:pPr>
            <w:r w:rsidRPr="00CE6C29">
              <w:rPr>
                <w:iCs/>
              </w:rPr>
              <w:t>European Commission</w:t>
            </w:r>
          </w:p>
          <w:p w:rsidR="002E621D" w:rsidRPr="00CE6C29" w:rsidP="002F6A28" w14:paraId="67910C93" w14:textId="77777777">
            <w:pPr>
              <w:rPr>
                <w:iCs/>
              </w:rPr>
            </w:pPr>
            <w:r w:rsidRPr="00CE6C29">
              <w:rPr>
                <w:iCs/>
              </w:rPr>
              <w:t>EU-TBT Enquiry Point</w:t>
            </w:r>
          </w:p>
          <w:p w:rsidR="002E621D" w:rsidRPr="00CE6C29" w:rsidP="002F6A28" w14:paraId="429C5EE2" w14:textId="77777777">
            <w:pPr>
              <w:rPr>
                <w:iCs/>
              </w:rPr>
            </w:pPr>
            <w:r w:rsidRPr="00CE6C29">
              <w:rPr>
                <w:iCs/>
              </w:rPr>
              <w:t>Fax: + (32) 2 299 80 43</w:t>
            </w:r>
          </w:p>
          <w:p w:rsidR="002E621D" w:rsidRPr="00CE6C29" w:rsidP="002F6A28" w14:paraId="03F0EB22" w14:textId="77777777">
            <w:pPr>
              <w:rPr>
                <w:iCs/>
              </w:rPr>
            </w:pPr>
            <w:r w:rsidRPr="00CE6C29">
              <w:rPr>
                <w:iCs/>
              </w:rPr>
              <w:t xml:space="preserve">E-mail: </w:t>
            </w:r>
            <w:hyperlink r:id="rId6" w:history="1">
              <w:r w:rsidRPr="00CE6C29">
                <w:rPr>
                  <w:iCs/>
                  <w:color w:val="0000FF"/>
                  <w:u w:val="single"/>
                </w:rPr>
                <w:t>grow-eu-tbt@ec.europa.eu</w:t>
              </w:r>
            </w:hyperlink>
          </w:p>
          <w:p w:rsidR="002E621D" w:rsidRPr="00CE6C29" w:rsidP="002F6A28" w14:paraId="4C792176"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2D76A3A5" w14:textId="77777777" w:rsidTr="00DB13FE">
        <w:tblPrEx>
          <w:tblW w:w="5000" w:type="pct"/>
          <w:tblLayout w:type="fixed"/>
          <w:tblLook w:val="0000"/>
        </w:tblPrEx>
        <w:tc>
          <w:tcPr>
            <w:tcW w:w="607" w:type="dxa"/>
          </w:tcPr>
          <w:p w:rsidR="00F85C99" w:rsidRPr="002F6A28" w:rsidP="002F6A28" w14:paraId="155FFCFF" w14:textId="77777777">
            <w:pPr>
              <w:spacing w:before="120" w:after="120"/>
              <w:jc w:val="left"/>
              <w:rPr>
                <w:b/>
              </w:rPr>
            </w:pPr>
            <w:r w:rsidRPr="002F6A28">
              <w:rPr>
                <w:b/>
              </w:rPr>
              <w:t>6.</w:t>
            </w:r>
          </w:p>
        </w:tc>
        <w:tc>
          <w:tcPr>
            <w:tcW w:w="8373" w:type="dxa"/>
          </w:tcPr>
          <w:p w:rsidR="00F85C99" w:rsidRPr="002F6A28" w:rsidP="002F6A28" w14:paraId="1E798866" w14:textId="77777777">
            <w:pPr>
              <w:spacing w:before="120" w:after="120"/>
              <w:rPr>
                <w:b/>
              </w:rPr>
            </w:pPr>
            <w:r w:rsidRPr="002F6A28">
              <w:rPr>
                <w:b/>
              </w:rPr>
              <w:t>Description of content:</w:t>
            </w:r>
            <w:r w:rsidRPr="00C379C8" w:rsidR="00FE448B">
              <w:t xml:space="preserve"> This draft Commission Implementing Decision does not approve poly(dimethyloctadecyl[3-(trihydroxysilyl)propyl]ammonium chloride) generated from dimethyloctadecyl[3-(trimethoxysilyl)propyl]ammonium chloride as an existing active substance for use in biocidal products of product types 2, 7 and 9.</w:t>
            </w:r>
          </w:p>
          <w:p w:rsidR="00FE448B" w:rsidRPr="00C379C8" w:rsidP="002F6A28" w14:paraId="377268A7" w14:textId="77777777">
            <w:pPr>
              <w:spacing w:before="120" w:after="120"/>
            </w:pPr>
            <w:r w:rsidRPr="00C379C8">
              <w:t xml:space="preserve">This active substance cannot be approved due to major data gaps, including validated analytical methods and physico-chemical properties of the substance. Since reliable analytical methods could not be established, it was not possible to conclude on the acceptability of the risks concerning human health and the environment. Due to the same reasons, it was not possible to conclude whether the active substance is carcinogenic, </w:t>
            </w:r>
            <w:r w:rsidRPr="00C379C8">
              <w:t>mutagenic or toxic for reproduction. Finally, sufficient efficacy was not demonstrated for any of the assessed product-types.</w:t>
            </w:r>
          </w:p>
          <w:p w:rsidR="00FE448B" w:rsidRPr="00C379C8" w:rsidP="002F6A28" w14:paraId="3B259FF7" w14:textId="77777777">
            <w:pPr>
              <w:spacing w:before="120" w:after="120"/>
            </w:pPr>
            <w:r w:rsidRPr="00C379C8">
              <w:t>As a consequence, articles treated with or incorporating this active substance may not be placed on the market in the Union 180 days after a decision on the non-approval.</w:t>
            </w:r>
          </w:p>
        </w:tc>
      </w:tr>
      <w:tr w14:paraId="1E7F46C4" w14:textId="77777777" w:rsidTr="00DB13FE">
        <w:tblPrEx>
          <w:tblW w:w="5000" w:type="pct"/>
          <w:tblLayout w:type="fixed"/>
          <w:tblLook w:val="0000"/>
        </w:tblPrEx>
        <w:tc>
          <w:tcPr>
            <w:tcW w:w="607" w:type="dxa"/>
          </w:tcPr>
          <w:p w:rsidR="00F85C99" w:rsidRPr="002F6A28" w:rsidP="002F6A28" w14:paraId="3B70AD69" w14:textId="77777777">
            <w:pPr>
              <w:spacing w:before="120" w:after="120"/>
              <w:jc w:val="left"/>
              <w:rPr>
                <w:b/>
              </w:rPr>
            </w:pPr>
            <w:r w:rsidRPr="002F6A28">
              <w:rPr>
                <w:b/>
              </w:rPr>
              <w:t>7.</w:t>
            </w:r>
          </w:p>
        </w:tc>
        <w:tc>
          <w:tcPr>
            <w:tcW w:w="8373" w:type="dxa"/>
          </w:tcPr>
          <w:p w:rsidR="00F85C99" w:rsidRPr="002F6A28" w:rsidP="002F6A28" w14:paraId="6CB95F0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 Harmonization</w:t>
            </w:r>
          </w:p>
        </w:tc>
      </w:tr>
      <w:tr w14:paraId="0B649554" w14:textId="77777777" w:rsidTr="00DB13FE">
        <w:tblPrEx>
          <w:tblW w:w="5000" w:type="pct"/>
          <w:tblLayout w:type="fixed"/>
          <w:tblLook w:val="0000"/>
        </w:tblPrEx>
        <w:tc>
          <w:tcPr>
            <w:tcW w:w="607" w:type="dxa"/>
          </w:tcPr>
          <w:p w:rsidR="00F85C99" w:rsidRPr="002F6A28" w:rsidP="009E75ED" w14:paraId="13CAA21A" w14:textId="77777777">
            <w:pPr>
              <w:spacing w:before="120" w:after="120"/>
              <w:jc w:val="left"/>
              <w:rPr>
                <w:b/>
              </w:rPr>
            </w:pPr>
            <w:r w:rsidRPr="002F6A28">
              <w:rPr>
                <w:b/>
              </w:rPr>
              <w:t>8.</w:t>
            </w:r>
          </w:p>
        </w:tc>
        <w:tc>
          <w:tcPr>
            <w:tcW w:w="8373" w:type="dxa"/>
          </w:tcPr>
          <w:p w:rsidR="000C3B6C" w:rsidRPr="00EC00D2" w:rsidP="007F13E8" w14:paraId="5FB96B34" w14:textId="77777777">
            <w:pPr>
              <w:spacing w:before="120" w:after="120"/>
              <w:rPr>
                <w:bCs/>
              </w:rPr>
            </w:pPr>
            <w:r w:rsidRPr="002F6A28">
              <w:rPr>
                <w:b/>
              </w:rPr>
              <w:t>Relevant documents:</w:t>
            </w:r>
            <w:r w:rsidRPr="002F6A28" w:rsidR="00EE3A11">
              <w:t xml:space="preserve"> </w:t>
            </w:r>
          </w:p>
          <w:p w:rsidR="00EE3A11" w:rsidRPr="002F6A28" w:rsidP="007F13E8" w14:paraId="675286BA" w14:textId="77777777">
            <w:pPr>
              <w:spacing w:before="120" w:after="120"/>
            </w:pPr>
            <w:r w:rsidRPr="002F6A28">
              <w:t>Regulation (EU) No 528/2012 of the European Parliament and of the Council of 22 May 2012 concerning the making available on the market and use of biocidal products (OJ L 167, 27.6.2012, p. 1.). Available in all EU languages.</w:t>
            </w:r>
          </w:p>
          <w:p w:rsidR="00EE3A11" w:rsidRPr="002F6A28" w:rsidP="007F13E8" w14:paraId="6407696E" w14:textId="77777777">
            <w:pPr>
              <w:spacing w:before="120" w:after="120"/>
            </w:pPr>
            <w:hyperlink r:id="rId9" w:history="1">
              <w:r w:rsidRPr="002F6A28">
                <w:rPr>
                  <w:color w:val="0000FF"/>
                  <w:u w:val="single"/>
                </w:rPr>
                <w:t>EUR-Lex - 32012R0528 - EN - EUR-Lex (europa.eu)</w:t>
              </w:r>
            </w:hyperlink>
          </w:p>
        </w:tc>
      </w:tr>
      <w:tr w14:paraId="7D4EDBAF" w14:textId="77777777" w:rsidTr="00DB13FE">
        <w:tblPrEx>
          <w:tblW w:w="5000" w:type="pct"/>
          <w:tblLayout w:type="fixed"/>
          <w:tblLook w:val="0000"/>
        </w:tblPrEx>
        <w:tc>
          <w:tcPr>
            <w:tcW w:w="607" w:type="dxa"/>
          </w:tcPr>
          <w:p w:rsidR="00EE3A11" w:rsidRPr="002F6A28" w:rsidP="002F6A28" w14:paraId="2CC16E5D" w14:textId="77777777">
            <w:pPr>
              <w:spacing w:before="120" w:after="120"/>
              <w:jc w:val="left"/>
              <w:rPr>
                <w:b/>
              </w:rPr>
            </w:pPr>
            <w:r w:rsidRPr="002F6A28">
              <w:rPr>
                <w:b/>
              </w:rPr>
              <w:t>9.</w:t>
            </w:r>
          </w:p>
        </w:tc>
        <w:tc>
          <w:tcPr>
            <w:tcW w:w="8373" w:type="dxa"/>
          </w:tcPr>
          <w:p w:rsidR="00EE3A11" w:rsidRPr="002F6A28" w:rsidP="008953C4" w14:paraId="13B3BE21" w14:textId="77777777">
            <w:pPr>
              <w:spacing w:before="120" w:after="120"/>
            </w:pPr>
            <w:r w:rsidRPr="002F6A28">
              <w:rPr>
                <w:b/>
              </w:rPr>
              <w:t>Proposed date of adoption:</w:t>
            </w:r>
            <w:r w:rsidRPr="00C379C8">
              <w:t xml:space="preserve"> June 2026</w:t>
            </w:r>
          </w:p>
          <w:p w:rsidR="00EE3A11" w:rsidRPr="002F6A28" w:rsidP="008953C4" w14:paraId="7191B161" w14:textId="77777777">
            <w:pPr>
              <w:spacing w:after="120"/>
            </w:pPr>
            <w:r w:rsidRPr="002F6A28">
              <w:rPr>
                <w:b/>
              </w:rPr>
              <w:t>Proposed date of entry into force:</w:t>
            </w:r>
            <w:r w:rsidRPr="00C379C8">
              <w:t xml:space="preserve"> </w:t>
            </w:r>
            <w:r w:rsidRPr="00C379C8">
              <w:t>20 days from publication in the Official Journal of the EU (Application 12 months after adoption)</w:t>
            </w:r>
          </w:p>
        </w:tc>
      </w:tr>
      <w:tr w14:paraId="25E18B0A" w14:textId="77777777" w:rsidTr="00DB13FE">
        <w:tblPrEx>
          <w:tblW w:w="5000" w:type="pct"/>
          <w:tblLayout w:type="fixed"/>
          <w:tblLook w:val="0000"/>
        </w:tblPrEx>
        <w:tc>
          <w:tcPr>
            <w:tcW w:w="607" w:type="dxa"/>
            <w:tcBorders>
              <w:bottom w:val="double" w:sz="4" w:space="0" w:color="auto"/>
            </w:tcBorders>
          </w:tcPr>
          <w:p w:rsidR="00F85C99" w:rsidRPr="002F6A28" w:rsidP="002F6A28" w14:paraId="554EB5B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79F2CE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089EBC3" w14:textId="77777777">
            <w:pPr>
              <w:spacing w:before="120" w:after="120"/>
              <w:rPr>
                <w:bCs/>
              </w:rPr>
            </w:pPr>
            <w:r w:rsidRPr="002F6A28">
              <w:rPr>
                <w:b/>
              </w:rPr>
              <w:t>Final date for comments:</w:t>
            </w:r>
            <w:r w:rsidRPr="00C379C8" w:rsidR="00EE3A11">
              <w:t xml:space="preserve"> 22 May 2026</w:t>
            </w:r>
          </w:p>
          <w:p w:rsidR="000C3B6C" w:rsidRPr="00E3324D" w:rsidP="000C3B6C" w14:paraId="062675E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C84EAA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22A6E5E" w14:textId="77777777">
            <w:r w:rsidRPr="00CE6C29">
              <w:t>European Commission,</w:t>
            </w:r>
          </w:p>
          <w:p w:rsidR="00CE6C29" w:rsidRPr="00CE6C29" w:rsidP="000C3B6C" w14:paraId="10D8EF5B" w14:textId="77777777">
            <w:r w:rsidRPr="00CE6C29">
              <w:t>EU-TBT Enquiry Point,</w:t>
            </w:r>
          </w:p>
          <w:p w:rsidR="00CE6C29" w:rsidRPr="00CE6C29" w:rsidP="000C3B6C" w14:paraId="6D633C6A" w14:textId="77777777">
            <w:r w:rsidRPr="00CE6C29">
              <w:t>Fax: + (32) 2 299 80 43,</w:t>
            </w:r>
          </w:p>
          <w:p w:rsidR="00CE6C29" w:rsidRPr="00CE6C29" w:rsidP="000C3B6C" w14:paraId="13119DDB"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589FC61D"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43CCF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56CE0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3D421D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61C0F5" w14:textId="77777777">
    <w:pPr>
      <w:pStyle w:val="Header"/>
      <w:pBdr>
        <w:bottom w:val="single" w:sz="4" w:space="1" w:color="auto"/>
      </w:pBdr>
      <w:tabs>
        <w:tab w:val="clear" w:pos="4513"/>
        <w:tab w:val="clear" w:pos="9027"/>
      </w:tabs>
      <w:jc w:val="center"/>
    </w:pPr>
    <w:r w:rsidRPr="002F6A28">
      <w:t>tbtSymbol</w:t>
    </w:r>
  </w:p>
  <w:p w:rsidR="009239F7" w:rsidRPr="002F6A28" w:rsidP="009239F7" w14:paraId="0834751D" w14:textId="77777777">
    <w:pPr>
      <w:pStyle w:val="Header"/>
      <w:pBdr>
        <w:bottom w:val="single" w:sz="4" w:space="1" w:color="auto"/>
      </w:pBdr>
      <w:tabs>
        <w:tab w:val="clear" w:pos="4513"/>
        <w:tab w:val="clear" w:pos="9027"/>
      </w:tabs>
      <w:jc w:val="center"/>
    </w:pPr>
  </w:p>
  <w:p w:rsidR="009239F7" w:rsidRPr="002F6A28" w:rsidP="009239F7" w14:paraId="5F7D81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E2916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F4B5EA" w14:textId="77777777">
    <w:pPr>
      <w:pStyle w:val="Header"/>
      <w:pBdr>
        <w:bottom w:val="single" w:sz="4" w:space="1" w:color="auto"/>
      </w:pBdr>
      <w:tabs>
        <w:tab w:val="clear" w:pos="4513"/>
        <w:tab w:val="clear" w:pos="9027"/>
      </w:tabs>
      <w:jc w:val="center"/>
    </w:pPr>
    <w:bookmarkStart w:id="0" w:name="spsSymbolHeader"/>
    <w:r w:rsidRPr="002F6A28">
      <w:t>G/TBT/N/EU/1201</w:t>
    </w:r>
    <w:bookmarkEnd w:id="0"/>
  </w:p>
  <w:p w:rsidR="009239F7" w:rsidRPr="002F6A28" w:rsidP="009239F7" w14:paraId="13F3A2EF" w14:textId="77777777">
    <w:pPr>
      <w:pStyle w:val="Header"/>
      <w:pBdr>
        <w:bottom w:val="single" w:sz="4" w:space="1" w:color="auto"/>
      </w:pBdr>
      <w:tabs>
        <w:tab w:val="clear" w:pos="4513"/>
        <w:tab w:val="clear" w:pos="9027"/>
      </w:tabs>
      <w:jc w:val="center"/>
    </w:pPr>
  </w:p>
  <w:p w:rsidR="009239F7" w:rsidRPr="002F6A28" w:rsidP="009239F7" w14:paraId="04BE64E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73176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AD621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8B1DF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090910" w14:textId="77777777">
          <w:pPr>
            <w:jc w:val="right"/>
            <w:rPr>
              <w:b/>
              <w:color w:val="FF0000"/>
              <w:szCs w:val="16"/>
            </w:rPr>
          </w:pPr>
        </w:p>
      </w:tc>
    </w:tr>
    <w:bookmarkEnd w:id="1"/>
    <w:tr w14:paraId="006BDD6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499A7F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CD4F67" w14:textId="77777777">
          <w:pPr>
            <w:jc w:val="right"/>
            <w:rPr>
              <w:b/>
              <w:szCs w:val="16"/>
            </w:rPr>
          </w:pPr>
        </w:p>
      </w:tc>
    </w:tr>
    <w:tr w14:paraId="68F1B0D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518F6E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9C5EBBD" w14:textId="77777777">
          <w:pPr>
            <w:jc w:val="right"/>
            <w:rPr>
              <w:b/>
              <w:szCs w:val="16"/>
            </w:rPr>
          </w:pPr>
          <w:bookmarkStart w:id="2" w:name="bmkSymbols"/>
          <w:r w:rsidRPr="002F6A28">
            <w:rPr>
              <w:b/>
              <w:szCs w:val="16"/>
            </w:rPr>
            <w:t>G/TBT/N/EU/1201</w:t>
          </w:r>
          <w:bookmarkEnd w:id="2"/>
        </w:p>
      </w:tc>
    </w:tr>
    <w:tr w14:paraId="7CD4FA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B18FEC5" w14:textId="77777777"/>
      </w:tc>
      <w:tc>
        <w:tcPr>
          <w:tcW w:w="5448" w:type="dxa"/>
          <w:gridSpan w:val="2"/>
          <w:shd w:val="clear" w:color="auto" w:fill="FFFFFF"/>
          <w:tcMar>
            <w:left w:w="108" w:type="dxa"/>
            <w:right w:w="108" w:type="dxa"/>
          </w:tcMar>
          <w:vAlign w:val="center"/>
        </w:tcPr>
        <w:p w:rsidR="00ED54E0" w:rsidRPr="009239F7" w:rsidP="00B801E9" w14:paraId="28F291ED" w14:textId="77777777">
          <w:pPr>
            <w:jc w:val="right"/>
            <w:rPr>
              <w:szCs w:val="16"/>
            </w:rPr>
          </w:pPr>
          <w:bookmarkStart w:id="3" w:name="spsDateDistribution"/>
          <w:bookmarkStart w:id="4" w:name="bmkDate"/>
          <w:r w:rsidRPr="009239F7">
            <w:rPr>
              <w:szCs w:val="16"/>
            </w:rPr>
            <w:t>23 March 2026</w:t>
          </w:r>
          <w:bookmarkEnd w:id="3"/>
          <w:bookmarkEnd w:id="4"/>
        </w:p>
      </w:tc>
    </w:tr>
    <w:tr w14:paraId="14A254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18AA7F6" w14:textId="77777777">
          <w:pPr>
            <w:jc w:val="left"/>
            <w:rPr>
              <w:b/>
            </w:rPr>
          </w:pPr>
          <w:bookmarkStart w:id="5" w:name="bmkSerial"/>
          <w:r>
            <w:rPr>
              <w:rFonts w:ascii="Verdana" w:eastAsia="Verdana" w:hAnsi="Verdana" w:cs="Verdana"/>
              <w:b w:val="0"/>
              <w:color w:val="FF0000"/>
              <w:sz w:val="18"/>
            </w:rPr>
            <w:t>(26-2300)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5A41F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D980E4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91EC8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32AD77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D696A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7454332">
    <w:abstractNumId w:val="9"/>
  </w:num>
  <w:num w:numId="2" w16cid:durableId="286157052">
    <w:abstractNumId w:val="7"/>
  </w:num>
  <w:num w:numId="3" w16cid:durableId="1234118736">
    <w:abstractNumId w:val="6"/>
  </w:num>
  <w:num w:numId="4" w16cid:durableId="506408014">
    <w:abstractNumId w:val="5"/>
  </w:num>
  <w:num w:numId="5" w16cid:durableId="1195464779">
    <w:abstractNumId w:val="4"/>
  </w:num>
  <w:num w:numId="6" w16cid:durableId="2005625915">
    <w:abstractNumId w:val="12"/>
  </w:num>
  <w:num w:numId="7" w16cid:durableId="1827433443">
    <w:abstractNumId w:val="11"/>
  </w:num>
  <w:num w:numId="8" w16cid:durableId="975841728">
    <w:abstractNumId w:val="10"/>
  </w:num>
  <w:num w:numId="9" w16cid:durableId="1386832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0148723">
    <w:abstractNumId w:val="13"/>
  </w:num>
  <w:num w:numId="11" w16cid:durableId="583683348">
    <w:abstractNumId w:val="8"/>
  </w:num>
  <w:num w:numId="12" w16cid:durableId="1295672528">
    <w:abstractNumId w:val="3"/>
  </w:num>
  <w:num w:numId="13" w16cid:durableId="705912369">
    <w:abstractNumId w:val="2"/>
  </w:num>
  <w:num w:numId="14" w16cid:durableId="181627531">
    <w:abstractNumId w:val="1"/>
  </w:num>
  <w:num w:numId="15" w16cid:durableId="1686008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621D"/>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03254"/>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6C5B"/>
    <w:rsid w:val="00796783"/>
    <w:rsid w:val="007B4DE8"/>
    <w:rsid w:val="007D20BB"/>
    <w:rsid w:val="007E1308"/>
    <w:rsid w:val="007E1937"/>
    <w:rsid w:val="007E4C24"/>
    <w:rsid w:val="007E6507"/>
    <w:rsid w:val="007F13E8"/>
    <w:rsid w:val="007F2B8E"/>
    <w:rsid w:val="008055FB"/>
    <w:rsid w:val="00807247"/>
    <w:rsid w:val="00810883"/>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4D45"/>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35FB"/>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5A101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1599_00_e.pdf" TargetMode="External" /><Relationship Id="rId9" Type="http://schemas.openxmlformats.org/officeDocument/2006/relationships/hyperlink" Target="https://eur-lex.europa.eu/legal-content/EN/TXT/?uri=CELEX%3A32012R0528&amp;qid=165331989393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73A5C-1401-465B-8ADD-3038DEEF65A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2026-03-23T08:44:00Z</dcterms:created>
  <dcterms:modified xsi:type="dcterms:W3CDTF">2026-03-23T08:50:00Z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