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7D7C100" w14:textId="77777777">
      <w:pPr>
        <w:pStyle w:val="Title"/>
        <w:rPr>
          <w:caps w:val="0"/>
          <w:kern w:val="0"/>
        </w:rPr>
      </w:pPr>
      <w:r w:rsidRPr="002F6A28">
        <w:rPr>
          <w:caps w:val="0"/>
          <w:kern w:val="0"/>
        </w:rPr>
        <w:t>NOTIFICATION</w:t>
      </w:r>
    </w:p>
    <w:p w:rsidR="009239F7" w:rsidRPr="002F6A28" w:rsidP="002F6A28" w14:paraId="4B13E9F3" w14:textId="77777777">
      <w:pPr>
        <w:jc w:val="center"/>
      </w:pPr>
      <w:r w:rsidRPr="002F6A28">
        <w:t>The following notification is being circulated in accordance with Article 10.6</w:t>
      </w:r>
    </w:p>
    <w:p w:rsidR="009239F7" w:rsidRPr="002F6A28" w:rsidP="002F6A28" w14:paraId="5602FE0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08A6A24" w14:textId="77777777" w:rsidTr="00DB13FE">
        <w:tblPrEx>
          <w:tblW w:w="5000" w:type="pct"/>
          <w:tblLayout w:type="fixed"/>
          <w:tblLook w:val="0000"/>
        </w:tblPrEx>
        <w:tc>
          <w:tcPr>
            <w:tcW w:w="607" w:type="dxa"/>
            <w:tcBorders>
              <w:top w:val="double" w:sz="4" w:space="0" w:color="auto"/>
            </w:tcBorders>
          </w:tcPr>
          <w:p w:rsidR="00F85C99" w:rsidRPr="002F6A28" w:rsidP="002F6A28" w14:paraId="4BD7F17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65822ED"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6E40A1C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BD5C24B" w14:textId="77777777" w:rsidTr="00DB13FE">
        <w:tblPrEx>
          <w:tblW w:w="5000" w:type="pct"/>
          <w:tblLayout w:type="fixed"/>
          <w:tblLook w:val="0000"/>
        </w:tblPrEx>
        <w:tc>
          <w:tcPr>
            <w:tcW w:w="607" w:type="dxa"/>
          </w:tcPr>
          <w:p w:rsidR="00F85C99" w:rsidRPr="002F6A28" w:rsidP="002F6A28" w14:paraId="1916B8D4" w14:textId="77777777">
            <w:pPr>
              <w:spacing w:before="120" w:after="120"/>
              <w:jc w:val="left"/>
            </w:pPr>
            <w:r w:rsidRPr="002F6A28">
              <w:rPr>
                <w:b/>
              </w:rPr>
              <w:t>2.</w:t>
            </w:r>
          </w:p>
        </w:tc>
        <w:tc>
          <w:tcPr>
            <w:tcW w:w="8373" w:type="dxa"/>
          </w:tcPr>
          <w:p w:rsidR="00F85C99" w:rsidRPr="002F6A28" w:rsidP="000C3B6C" w14:paraId="17BD5703" w14:textId="77777777">
            <w:pPr>
              <w:spacing w:before="120" w:after="120"/>
            </w:pPr>
            <w:r w:rsidRPr="002F6A28">
              <w:rPr>
                <w:b/>
              </w:rPr>
              <w:t>Agency responsible:</w:t>
            </w:r>
            <w:r w:rsidRPr="00C379C8" w:rsidR="00EE3A11">
              <w:t xml:space="preserve"> </w:t>
            </w:r>
          </w:p>
          <w:p w:rsidR="00EE3A11" w:rsidRPr="00C379C8" w:rsidP="000C3B6C" w14:paraId="55BFD831" w14:textId="77777777">
            <w:pPr>
              <w:spacing w:after="120"/>
            </w:pPr>
            <w:r w:rsidRPr="00C379C8">
              <w:t>Health Canada</w:t>
            </w:r>
          </w:p>
        </w:tc>
      </w:tr>
      <w:tr w14:paraId="2D20BE84" w14:textId="77777777" w:rsidTr="00DB13FE">
        <w:tblPrEx>
          <w:tblW w:w="5000" w:type="pct"/>
          <w:tblLayout w:type="fixed"/>
          <w:tblLook w:val="0000"/>
        </w:tblPrEx>
        <w:tc>
          <w:tcPr>
            <w:tcW w:w="607" w:type="dxa"/>
          </w:tcPr>
          <w:p w:rsidR="00F85C99" w:rsidRPr="002F6A28" w:rsidP="002F6A28" w14:paraId="128B7FB4" w14:textId="77777777">
            <w:pPr>
              <w:spacing w:before="120" w:after="120"/>
              <w:jc w:val="left"/>
              <w:rPr>
                <w:b/>
              </w:rPr>
            </w:pPr>
            <w:r w:rsidRPr="002F6A28">
              <w:rPr>
                <w:b/>
              </w:rPr>
              <w:t>3.</w:t>
            </w:r>
          </w:p>
        </w:tc>
        <w:tc>
          <w:tcPr>
            <w:tcW w:w="8373" w:type="dxa"/>
          </w:tcPr>
          <w:p w:rsidR="00F85C99" w:rsidRPr="0058336F" w:rsidP="002F6A28" w14:paraId="0CAEE8AC"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DA9EE33" w14:textId="77777777" w:rsidTr="00DB13FE">
        <w:tblPrEx>
          <w:tblW w:w="5000" w:type="pct"/>
          <w:tblLayout w:type="fixed"/>
          <w:tblLook w:val="0000"/>
        </w:tblPrEx>
        <w:tc>
          <w:tcPr>
            <w:tcW w:w="607" w:type="dxa"/>
          </w:tcPr>
          <w:p w:rsidR="00F85C99" w:rsidRPr="002F6A28" w:rsidP="002F6A28" w14:paraId="5C3991FD" w14:textId="77777777">
            <w:pPr>
              <w:spacing w:before="120" w:after="120"/>
              <w:jc w:val="left"/>
            </w:pPr>
            <w:r w:rsidRPr="002F6A28">
              <w:rPr>
                <w:b/>
              </w:rPr>
              <w:t>4.</w:t>
            </w:r>
          </w:p>
        </w:tc>
        <w:tc>
          <w:tcPr>
            <w:tcW w:w="8373" w:type="dxa"/>
          </w:tcPr>
          <w:p w:rsidR="00F85C99" w:rsidRPr="002F6A28" w:rsidP="002F6A28" w14:paraId="27A26E0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Phenethyl bromide (HS code: 290399)</w:t>
            </w:r>
          </w:p>
          <w:p w:rsidR="00EE3A11" w:rsidRPr="00C379C8" w:rsidP="002F6A28" w14:paraId="1D64CC14" w14:textId="77777777">
            <w:pPr>
              <w:spacing w:before="120" w:after="120"/>
            </w:pPr>
            <w:r w:rsidRPr="00C379C8">
              <w:t>Phenethyl chloride (HS code: 290399)</w:t>
            </w:r>
          </w:p>
          <w:p w:rsidR="00EE3A11" w:rsidRPr="00C379C8" w:rsidP="002F6A28" w14:paraId="3EF5EF8F" w14:textId="77777777">
            <w:pPr>
              <w:spacing w:before="120" w:after="120"/>
            </w:pPr>
            <w:r w:rsidRPr="00C379C8">
              <w:t>Phenethyl iodide (HS code: 290399)</w:t>
            </w:r>
          </w:p>
          <w:p w:rsidR="00EE3A11" w:rsidRPr="00C379C8" w:rsidP="002F6A28" w14:paraId="7BF4280C" w14:textId="77777777">
            <w:pPr>
              <w:spacing w:before="120" w:after="120"/>
            </w:pPr>
            <w:r w:rsidRPr="00C379C8">
              <w:t>Propionic anhydride (HS code: 291590)</w:t>
            </w:r>
          </w:p>
          <w:p w:rsidR="00EE3A11" w:rsidRPr="00C379C8" w:rsidP="002F6A28" w14:paraId="60B1522A" w14:textId="77777777">
            <w:pPr>
              <w:spacing w:before="120" w:after="120"/>
            </w:pPr>
            <w:r w:rsidRPr="00C379C8">
              <w:t>Benzyl chloride (HS code: 290399)</w:t>
            </w:r>
          </w:p>
        </w:tc>
      </w:tr>
      <w:tr w14:paraId="42380D6B" w14:textId="77777777" w:rsidTr="00DB13FE">
        <w:tblPrEx>
          <w:tblW w:w="5000" w:type="pct"/>
          <w:tblLayout w:type="fixed"/>
          <w:tblLook w:val="0000"/>
        </w:tblPrEx>
        <w:tc>
          <w:tcPr>
            <w:tcW w:w="607" w:type="dxa"/>
          </w:tcPr>
          <w:p w:rsidR="00F85C99" w:rsidRPr="002F6A28" w:rsidP="002F6A28" w14:paraId="4B23E54E" w14:textId="77777777">
            <w:pPr>
              <w:spacing w:before="120" w:after="120"/>
              <w:jc w:val="left"/>
            </w:pPr>
            <w:r w:rsidRPr="002F6A28">
              <w:rPr>
                <w:b/>
              </w:rPr>
              <w:t>5.</w:t>
            </w:r>
          </w:p>
        </w:tc>
        <w:tc>
          <w:tcPr>
            <w:tcW w:w="8373" w:type="dxa"/>
          </w:tcPr>
          <w:p w:rsidR="00F85C99" w:rsidP="002F6A28" w14:paraId="3B20C5D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Order Amending Schedule VI to the </w:t>
            </w:r>
            <w:r w:rsidRPr="00C379C8" w:rsidR="00EE3A11">
              <w:rPr>
                <w:i/>
                <w:iCs/>
              </w:rPr>
              <w:t>Controlled Drugs and Substances Act</w:t>
            </w:r>
            <w:r w:rsidRPr="00C379C8" w:rsidR="00EE3A11">
              <w:t xml:space="preserve"> (Additional Fentanyl Precursors) (17 pages in English, 21 pages in French)</w:t>
            </w:r>
          </w:p>
          <w:p w:rsidR="00EE3A11" w:rsidRPr="00C379C8" w:rsidP="002F6A28" w14:paraId="7351ACA7" w14:textId="77777777">
            <w:pPr>
              <w:spacing w:before="120" w:after="120"/>
            </w:pPr>
            <w:r w:rsidRPr="00C379C8">
              <w:t xml:space="preserve">Regulations Amending the </w:t>
            </w:r>
            <w:r w:rsidRPr="00C379C8">
              <w:rPr>
                <w:i/>
                <w:iCs/>
              </w:rPr>
              <w:t>Precursor Control Regulations</w:t>
            </w:r>
            <w:r w:rsidRPr="00C379C8">
              <w:t xml:space="preserve"> (Additional Fentanyl Precursors) (2 pages in English and French)</w:t>
            </w:r>
          </w:p>
          <w:p w:rsidR="000C3B6C" w:rsidRPr="000C3B6C" w:rsidP="002F6A28" w14:paraId="1F5978A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15E9F" w:rsidRPr="00CE6C29" w:rsidP="002F6A28" w14:paraId="46778859" w14:textId="77777777">
            <w:pPr>
              <w:rPr>
                <w:iCs/>
              </w:rPr>
            </w:pPr>
            <w:r w:rsidRPr="00CE6C29">
              <w:rPr>
                <w:iCs/>
              </w:rPr>
              <w:t>Order</w:t>
            </w:r>
          </w:p>
          <w:p w:rsidR="00715E9F" w:rsidRPr="00CE6C29" w:rsidP="002F6A28" w14:paraId="72B68FB4" w14:textId="77777777">
            <w:pPr>
              <w:rPr>
                <w:iCs/>
              </w:rPr>
            </w:pPr>
            <w:hyperlink r:id="rId6" w:tgtFrame="_blank" w:history="1">
              <w:r w:rsidRPr="00CE6C29">
                <w:rPr>
                  <w:iCs/>
                  <w:color w:val="0000FF"/>
                  <w:u w:val="single"/>
                </w:rPr>
                <w:t>https://gazette.gc.ca/rp-pr/p2/2026/2026-03-11/html/sor-dors38-eng.html</w:t>
              </w:r>
            </w:hyperlink>
          </w:p>
          <w:p w:rsidR="00715E9F" w:rsidRPr="00CE6C29" w:rsidP="002F6A28" w14:paraId="60B3D045" w14:textId="77777777">
            <w:pPr>
              <w:rPr>
                <w:iCs/>
              </w:rPr>
            </w:pPr>
            <w:r w:rsidRPr="00CE6C29">
              <w:rPr>
                <w:iCs/>
              </w:rPr>
              <w:t>Regulations</w:t>
            </w:r>
          </w:p>
          <w:p w:rsidR="00715E9F" w:rsidRPr="00CE6C29" w:rsidP="002F6A28" w14:paraId="6D49C5D9" w14:textId="77777777">
            <w:pPr>
              <w:spacing w:after="120"/>
              <w:rPr>
                <w:iCs/>
              </w:rPr>
            </w:pPr>
            <w:hyperlink r:id="rId7" w:tgtFrame="_blank" w:history="1">
              <w:r w:rsidRPr="00CE6C29">
                <w:rPr>
                  <w:iCs/>
                  <w:color w:val="0000FF"/>
                  <w:u w:val="single"/>
                </w:rPr>
                <w:t>https://gazette.gc.ca/rp-pr/p2/2026/2026-03-11/html/sor-dors39-eng.html</w:t>
              </w:r>
            </w:hyperlink>
          </w:p>
        </w:tc>
      </w:tr>
      <w:tr w14:paraId="0C9FAA9C" w14:textId="77777777" w:rsidTr="00DB13FE">
        <w:tblPrEx>
          <w:tblW w:w="5000" w:type="pct"/>
          <w:tblLayout w:type="fixed"/>
          <w:tblLook w:val="0000"/>
        </w:tblPrEx>
        <w:tc>
          <w:tcPr>
            <w:tcW w:w="607" w:type="dxa"/>
          </w:tcPr>
          <w:p w:rsidR="00F85C99" w:rsidRPr="002F6A28" w:rsidP="002F6A28" w14:paraId="7B6797CF" w14:textId="77777777">
            <w:pPr>
              <w:spacing w:before="120" w:after="120"/>
              <w:jc w:val="left"/>
              <w:rPr>
                <w:b/>
              </w:rPr>
            </w:pPr>
            <w:r w:rsidRPr="002F6A28">
              <w:rPr>
                <w:b/>
              </w:rPr>
              <w:t>6.</w:t>
            </w:r>
          </w:p>
        </w:tc>
        <w:tc>
          <w:tcPr>
            <w:tcW w:w="8373" w:type="dxa"/>
          </w:tcPr>
          <w:p w:rsidR="00F85C99" w:rsidRPr="002F6A28" w:rsidP="002F6A28" w14:paraId="5037ED83" w14:textId="77777777">
            <w:pPr>
              <w:spacing w:before="120" w:after="120"/>
              <w:rPr>
                <w:b/>
              </w:rPr>
            </w:pPr>
            <w:r w:rsidRPr="002F6A28">
              <w:rPr>
                <w:b/>
              </w:rPr>
              <w:t>Description of content:</w:t>
            </w:r>
            <w:r w:rsidRPr="00C379C8" w:rsidR="00FE448B">
              <w:t xml:space="preserve"> The purpose of this notification is to inform members that on March 11, 2026, </w:t>
            </w:r>
            <w:hyperlink r:id="rId8" w:history="1">
              <w:r w:rsidRPr="00C379C8" w:rsidR="00FE448B">
                <w:rPr>
                  <w:color w:val="0000FF"/>
                  <w:u w:val="single"/>
                </w:rPr>
                <w:t>Canada published permanent controls for phenethyl bromide, phenethyl chloride, phenethyl iodide, propionic anhydride, and benzyl chloride</w:t>
              </w:r>
            </w:hyperlink>
            <w:r w:rsidRPr="00C379C8" w:rsidR="00FE448B">
              <w:t xml:space="preserve"> by adding them to Schedule VI of the </w:t>
            </w:r>
            <w:r w:rsidRPr="00C379C8" w:rsidR="00FE448B">
              <w:rPr>
                <w:i/>
                <w:iCs/>
              </w:rPr>
              <w:t>Controlled Drugs and Substances Act</w:t>
            </w:r>
            <w:r w:rsidRPr="00C379C8" w:rsidR="00FE448B">
              <w:t xml:space="preserve"> and to the Schedule to the </w:t>
            </w:r>
            <w:r w:rsidRPr="00C379C8" w:rsidR="00FE448B">
              <w:rPr>
                <w:i/>
                <w:iCs/>
              </w:rPr>
              <w:t>Precursor Control Regulations</w:t>
            </w:r>
            <w:r w:rsidRPr="00C379C8" w:rsidR="00FE448B">
              <w:t xml:space="preserve">. The permanent controls come into force on April 12, 2026 (phenethyl bromide, propionic anhydride, and benzyl chloride are already temporarily controlled in Canada under a </w:t>
            </w:r>
            <w:hyperlink r:id="rId9" w:history="1">
              <w:r w:rsidRPr="00C379C8" w:rsidR="00FE448B">
                <w:rPr>
                  <w:color w:val="0000FF"/>
                  <w:u w:val="single"/>
                </w:rPr>
                <w:t>Ministerial Order</w:t>
              </w:r>
            </w:hyperlink>
            <w:r w:rsidRPr="00C379C8" w:rsidR="00FE448B">
              <w:t>). With these amendments, any person not authorized to conduct regulated activities with the five precursors will be subject to offences and penalties.</w:t>
            </w:r>
          </w:p>
        </w:tc>
      </w:tr>
      <w:tr w14:paraId="1027CDC5" w14:textId="77777777" w:rsidTr="00DB13FE">
        <w:tblPrEx>
          <w:tblW w:w="5000" w:type="pct"/>
          <w:tblLayout w:type="fixed"/>
          <w:tblLook w:val="0000"/>
        </w:tblPrEx>
        <w:tc>
          <w:tcPr>
            <w:tcW w:w="607" w:type="dxa"/>
          </w:tcPr>
          <w:p w:rsidR="00F85C99" w:rsidRPr="002F6A28" w:rsidP="002F6A28" w14:paraId="6460EB5A" w14:textId="77777777">
            <w:pPr>
              <w:spacing w:before="120" w:after="120"/>
              <w:jc w:val="left"/>
              <w:rPr>
                <w:b/>
              </w:rPr>
            </w:pPr>
            <w:r w:rsidRPr="002F6A28">
              <w:rPr>
                <w:b/>
              </w:rPr>
              <w:t>7.</w:t>
            </w:r>
          </w:p>
        </w:tc>
        <w:tc>
          <w:tcPr>
            <w:tcW w:w="8373" w:type="dxa"/>
          </w:tcPr>
          <w:p w:rsidR="00F85C99" w:rsidRPr="002F6A28" w:rsidP="002F6A28" w14:paraId="7531BCE0" w14:textId="77777777">
            <w:pPr>
              <w:spacing w:before="120" w:after="120"/>
              <w:rPr>
                <w:b/>
              </w:rPr>
            </w:pPr>
            <w:r w:rsidRPr="002F6A28">
              <w:rPr>
                <w:b/>
              </w:rPr>
              <w:t>Objective and rationale, including the nature of urgent problems where applicable:</w:t>
            </w:r>
            <w:r w:rsidRPr="00C379C8" w:rsidR="00EE3A11">
              <w:t xml:space="preserve"> The objective of the permanent controls is to protect public health and safety by strictly controlling activities with five fentanyl precursors (phenethyl bromide, phenethyl chloride, phenethyl iodide, propionic anhydride, and benzyl chloride) on a longer-term </w:t>
            </w:r>
            <w:r w:rsidRPr="00C379C8" w:rsidR="00EE3A11">
              <w:t xml:space="preserve">basis under the </w:t>
            </w:r>
            <w:r w:rsidRPr="00C379C8" w:rsidR="00EE3A11">
              <w:rPr>
                <w:i/>
                <w:iCs/>
              </w:rPr>
              <w:t>Controlled Drugs and Substances Act</w:t>
            </w:r>
            <w:r w:rsidRPr="00C379C8" w:rsidR="00EE3A11">
              <w:t>. The controls allow law and border enforcement to take action against any illegal importation, distribution, and use of the five precursors.</w:t>
            </w:r>
          </w:p>
        </w:tc>
      </w:tr>
      <w:tr w14:paraId="1B4BA1C4" w14:textId="77777777" w:rsidTr="00DB13FE">
        <w:tblPrEx>
          <w:tblW w:w="5000" w:type="pct"/>
          <w:tblLayout w:type="fixed"/>
          <w:tblLook w:val="0000"/>
        </w:tblPrEx>
        <w:tc>
          <w:tcPr>
            <w:tcW w:w="607" w:type="dxa"/>
          </w:tcPr>
          <w:p w:rsidR="00F85C99" w:rsidRPr="002F6A28" w:rsidP="009E75ED" w14:paraId="620DC3B9" w14:textId="77777777">
            <w:pPr>
              <w:spacing w:before="120" w:after="120"/>
              <w:jc w:val="left"/>
              <w:rPr>
                <w:b/>
              </w:rPr>
            </w:pPr>
            <w:r w:rsidRPr="002F6A28">
              <w:rPr>
                <w:b/>
              </w:rPr>
              <w:t>8.</w:t>
            </w:r>
          </w:p>
        </w:tc>
        <w:tc>
          <w:tcPr>
            <w:tcW w:w="8373" w:type="dxa"/>
          </w:tcPr>
          <w:p w:rsidR="000C3B6C" w:rsidRPr="00EC00D2" w:rsidP="007F13E8" w14:paraId="451A8326" w14:textId="77777777">
            <w:pPr>
              <w:spacing w:before="120" w:after="120"/>
              <w:rPr>
                <w:bCs/>
              </w:rPr>
            </w:pPr>
            <w:r w:rsidRPr="002F6A28">
              <w:rPr>
                <w:b/>
              </w:rPr>
              <w:t>Relevant documents:</w:t>
            </w:r>
            <w:r w:rsidRPr="002F6A28" w:rsidR="00EE3A11">
              <w:t xml:space="preserve"> </w:t>
            </w:r>
          </w:p>
          <w:p w:rsidR="00EE3A11" w:rsidRPr="002F6A28" w:rsidP="007F13E8" w14:paraId="252614B6" w14:textId="77777777">
            <w:pPr>
              <w:spacing w:before="120" w:after="120"/>
            </w:pPr>
            <w:r w:rsidRPr="002F6A28">
              <w:t xml:space="preserve">Canada Gazette : </w:t>
            </w:r>
            <w:hyperlink r:id="rId10" w:history="1">
              <w:r w:rsidRPr="002F6A28">
                <w:rPr>
                  <w:color w:val="0000FF"/>
                  <w:u w:val="single"/>
                </w:rPr>
                <w:t>https://canadagazette.gc.ca/rp-pr/p1/2025/2025-02-14-x1/html/extra1-eng.html</w:t>
              </w:r>
            </w:hyperlink>
            <w:r w:rsidRPr="002F6A28">
              <w:t xml:space="preserve">, </w:t>
            </w:r>
            <w:r w:rsidRPr="002F6A28">
              <w:rPr>
                <w:i/>
                <w:iCs/>
              </w:rPr>
              <w:t xml:space="preserve">Notice of intent to control fentanyl precursor chemicals and carisoprodol under the Controlled Drugs and Substances Act, </w:t>
            </w:r>
            <w:r w:rsidRPr="002F6A28">
              <w:t>(available in English and French)</w:t>
            </w:r>
          </w:p>
          <w:p w:rsidR="00EE3A11" w:rsidRPr="002F6A28" w:rsidP="007F13E8" w14:paraId="40F53DAB" w14:textId="77777777">
            <w:pPr>
              <w:spacing w:before="120" w:after="120"/>
            </w:pPr>
            <w:r w:rsidRPr="002F6A28">
              <w:t>Canada Gazette</w:t>
            </w:r>
            <w:r w:rsidRPr="002F6A28">
              <w:rPr>
                <w:i/>
                <w:iCs/>
              </w:rPr>
              <w:t xml:space="preserve"> : </w:t>
            </w:r>
            <w:hyperlink r:id="rId11" w:history="1">
              <w:r w:rsidRPr="002F6A28">
                <w:rPr>
                  <w:i/>
                  <w:iCs/>
                  <w:color w:val="0000FF"/>
                  <w:u w:val="single"/>
                </w:rPr>
                <w:t>https://canadagazette.gc.ca/rp-pr/p2/2025/2025-03-12/html/sor-dors64-eng.html</w:t>
              </w:r>
            </w:hyperlink>
            <w:r w:rsidRPr="002F6A28">
              <w:rPr>
                <w:i/>
                <w:iCs/>
              </w:rPr>
              <w:t>, Order Amending Schedule V to the Controlled Drugs and Substances Act (Fentanyl Precursors and Carisoprodol): SOR/2025-64</w:t>
            </w:r>
            <w:r w:rsidRPr="002F6A28">
              <w:t>, (available in English and French)</w:t>
            </w:r>
          </w:p>
        </w:tc>
      </w:tr>
      <w:tr w14:paraId="5757DDA1" w14:textId="77777777" w:rsidTr="00DB13FE">
        <w:tblPrEx>
          <w:tblW w:w="5000" w:type="pct"/>
          <w:tblLayout w:type="fixed"/>
          <w:tblLook w:val="0000"/>
        </w:tblPrEx>
        <w:tc>
          <w:tcPr>
            <w:tcW w:w="607" w:type="dxa"/>
          </w:tcPr>
          <w:p w:rsidR="00EE3A11" w:rsidRPr="002F6A28" w:rsidP="002F6A28" w14:paraId="3F898B1C" w14:textId="77777777">
            <w:pPr>
              <w:spacing w:before="120" w:after="120"/>
              <w:jc w:val="left"/>
              <w:rPr>
                <w:b/>
              </w:rPr>
            </w:pPr>
            <w:r w:rsidRPr="002F6A28">
              <w:rPr>
                <w:b/>
              </w:rPr>
              <w:t>9.</w:t>
            </w:r>
          </w:p>
        </w:tc>
        <w:tc>
          <w:tcPr>
            <w:tcW w:w="8373" w:type="dxa"/>
          </w:tcPr>
          <w:p w:rsidR="00EE3A11" w:rsidRPr="002F6A28" w:rsidP="008953C4" w14:paraId="1AAA7FC6" w14:textId="77777777">
            <w:pPr>
              <w:spacing w:before="120" w:after="120"/>
            </w:pPr>
            <w:r w:rsidRPr="002F6A28">
              <w:rPr>
                <w:b/>
              </w:rPr>
              <w:t>Proposed date of adoption:</w:t>
            </w:r>
            <w:r w:rsidRPr="00C379C8">
              <w:t xml:space="preserve"> 11 March 2026</w:t>
            </w:r>
          </w:p>
          <w:p w:rsidR="00EE3A11" w:rsidRPr="002F6A28" w:rsidP="008953C4" w14:paraId="19F4972A" w14:textId="77777777">
            <w:pPr>
              <w:spacing w:after="120"/>
            </w:pPr>
            <w:r w:rsidRPr="002F6A28">
              <w:rPr>
                <w:b/>
              </w:rPr>
              <w:t>Proposed date of entry into force:</w:t>
            </w:r>
            <w:r w:rsidRPr="00C379C8">
              <w:t xml:space="preserve"> 22 April 2026</w:t>
            </w:r>
          </w:p>
        </w:tc>
      </w:tr>
      <w:tr w14:paraId="3629ED6F" w14:textId="77777777" w:rsidTr="00DB13FE">
        <w:tblPrEx>
          <w:tblW w:w="5000" w:type="pct"/>
          <w:tblLayout w:type="fixed"/>
          <w:tblLook w:val="0000"/>
        </w:tblPrEx>
        <w:tc>
          <w:tcPr>
            <w:tcW w:w="607" w:type="dxa"/>
            <w:tcBorders>
              <w:bottom w:val="double" w:sz="4" w:space="0" w:color="auto"/>
            </w:tcBorders>
          </w:tcPr>
          <w:p w:rsidR="00F85C99" w:rsidRPr="002F6A28" w:rsidP="002F6A28" w14:paraId="60DE4C3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B1FCFC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E73A6D1" w14:textId="77777777">
            <w:pPr>
              <w:spacing w:before="120" w:after="120"/>
              <w:rPr>
                <w:bCs/>
              </w:rPr>
            </w:pPr>
            <w:r w:rsidRPr="002F6A28">
              <w:rPr>
                <w:b/>
              </w:rPr>
              <w:t>Final date for comments:</w:t>
            </w:r>
            <w:r w:rsidRPr="00C379C8" w:rsidR="00EE3A11">
              <w:t xml:space="preserve"> Not Applicable</w:t>
            </w:r>
          </w:p>
          <w:p w:rsidR="000C3B6C" w:rsidRPr="00E3324D" w:rsidP="000C3B6C" w14:paraId="55D3745E"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C242F3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33313A4" w14:textId="77777777">
            <w:r w:rsidRPr="00CE6C29">
              <w:t>Canada's Notification Authority and Enquiry Point</w:t>
            </w:r>
          </w:p>
          <w:p w:rsidR="00CE6C29" w:rsidRPr="00CE6C29" w:rsidP="000C3B6C" w14:paraId="59852DD4" w14:textId="77777777">
            <w:r w:rsidRPr="00CE6C29">
              <w:t>Technical Barriers and Regulations Division</w:t>
            </w:r>
          </w:p>
          <w:p w:rsidR="00CE6C29" w:rsidRPr="00CE6C29" w:rsidP="000C3B6C" w14:paraId="653C0125" w14:textId="77777777">
            <w:r w:rsidRPr="00CE6C29">
              <w:t>Global Affairs Canada</w:t>
            </w:r>
          </w:p>
          <w:p w:rsidR="00CE6C29" w:rsidRPr="00CE6C29" w:rsidP="000C3B6C" w14:paraId="4A04E532" w14:textId="77777777">
            <w:r w:rsidRPr="00CE6C29">
              <w:t>111 Sussex Drive</w:t>
            </w:r>
          </w:p>
          <w:p w:rsidR="00CE6C29" w:rsidRPr="00CE6C29" w:rsidP="000C3B6C" w14:paraId="38D99990" w14:textId="77777777">
            <w:r w:rsidRPr="00CE6C29">
              <w:t>Ottawa, Ontario, K1A 0G2</w:t>
            </w:r>
          </w:p>
          <w:p w:rsidR="00CE6C29" w:rsidRPr="005D723F" w:rsidP="000C3B6C" w14:paraId="0EE50075" w14:textId="77777777">
            <w:pPr>
              <w:rPr>
                <w:lang w:val="pt-BR"/>
              </w:rPr>
            </w:pPr>
            <w:r w:rsidRPr="005D723F">
              <w:rPr>
                <w:lang w:val="pt-BR"/>
              </w:rPr>
              <w:t>Canada</w:t>
            </w:r>
          </w:p>
          <w:p w:rsidR="00CE6C29" w:rsidRPr="005D723F" w:rsidP="000C3B6C" w14:paraId="024F4580" w14:textId="77777777">
            <w:pPr>
              <w:spacing w:after="120"/>
              <w:rPr>
                <w:lang w:val="pt-BR"/>
              </w:rPr>
            </w:pPr>
            <w:r w:rsidRPr="005D723F">
              <w:rPr>
                <w:lang w:val="pt-BR"/>
              </w:rPr>
              <w:t xml:space="preserve">Email: </w:t>
            </w:r>
            <w:hyperlink r:id="rId12" w:history="1">
              <w:r w:rsidRPr="005D723F">
                <w:rPr>
                  <w:color w:val="0000FF"/>
                  <w:u w:val="single"/>
                  <w:lang w:val="pt-BR"/>
                </w:rPr>
                <w:t>enquirypoint@international.gc.ca</w:t>
              </w:r>
            </w:hyperlink>
          </w:p>
        </w:tc>
      </w:tr>
    </w:tbl>
    <w:p w:rsidR="00EE3A11" w:rsidRPr="005D723F" w:rsidP="00887259" w14:paraId="01867C12" w14:textId="77777777">
      <w:pPr>
        <w:jc w:val="center"/>
        <w:rPr>
          <w:lang w:val="pt-BR"/>
        </w:rP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62840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A3520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CCA20F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B781CD" w14:textId="77777777">
    <w:pPr>
      <w:pStyle w:val="Header"/>
      <w:pBdr>
        <w:bottom w:val="single" w:sz="4" w:space="1" w:color="auto"/>
      </w:pBdr>
      <w:tabs>
        <w:tab w:val="clear" w:pos="4513"/>
        <w:tab w:val="clear" w:pos="9027"/>
      </w:tabs>
      <w:jc w:val="center"/>
    </w:pPr>
    <w:r w:rsidRPr="002F6A28">
      <w:t>tbtSymbol</w:t>
    </w:r>
  </w:p>
  <w:p w:rsidR="009239F7" w:rsidRPr="002F6A28" w:rsidP="009239F7" w14:paraId="5AFB7CDF" w14:textId="77777777">
    <w:pPr>
      <w:pStyle w:val="Header"/>
      <w:pBdr>
        <w:bottom w:val="single" w:sz="4" w:space="1" w:color="auto"/>
      </w:pBdr>
      <w:tabs>
        <w:tab w:val="clear" w:pos="4513"/>
        <w:tab w:val="clear" w:pos="9027"/>
      </w:tabs>
      <w:jc w:val="center"/>
    </w:pPr>
  </w:p>
  <w:p w:rsidR="009239F7" w:rsidRPr="002F6A28" w:rsidP="009239F7" w14:paraId="7CF26A5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AE5E0E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21649D" w14:textId="77777777">
    <w:pPr>
      <w:pStyle w:val="Header"/>
      <w:pBdr>
        <w:bottom w:val="single" w:sz="4" w:space="1" w:color="auto"/>
      </w:pBdr>
      <w:tabs>
        <w:tab w:val="clear" w:pos="4513"/>
        <w:tab w:val="clear" w:pos="9027"/>
      </w:tabs>
      <w:jc w:val="center"/>
    </w:pPr>
    <w:bookmarkStart w:id="0" w:name="spsSymbolHeader"/>
    <w:r w:rsidRPr="002F6A28">
      <w:t>G/TBT/N/CAN/774</w:t>
    </w:r>
    <w:bookmarkEnd w:id="0"/>
  </w:p>
  <w:p w:rsidR="009239F7" w:rsidRPr="002F6A28" w:rsidP="009239F7" w14:paraId="431DC3C9" w14:textId="77777777">
    <w:pPr>
      <w:pStyle w:val="Header"/>
      <w:pBdr>
        <w:bottom w:val="single" w:sz="4" w:space="1" w:color="auto"/>
      </w:pBdr>
      <w:tabs>
        <w:tab w:val="clear" w:pos="4513"/>
        <w:tab w:val="clear" w:pos="9027"/>
      </w:tabs>
      <w:jc w:val="center"/>
    </w:pPr>
  </w:p>
  <w:p w:rsidR="009239F7" w:rsidRPr="002F6A28" w:rsidP="009239F7" w14:paraId="67ECCD4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28D40F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A457A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080E5C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BFC49B4" w14:textId="77777777">
          <w:pPr>
            <w:jc w:val="right"/>
            <w:rPr>
              <w:b/>
              <w:color w:val="FF0000"/>
              <w:szCs w:val="16"/>
            </w:rPr>
          </w:pPr>
        </w:p>
      </w:tc>
    </w:tr>
    <w:bookmarkEnd w:id="1"/>
    <w:tr w14:paraId="588F8B2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3C2A22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CD31313" w14:textId="77777777">
          <w:pPr>
            <w:jc w:val="right"/>
            <w:rPr>
              <w:b/>
              <w:szCs w:val="16"/>
            </w:rPr>
          </w:pPr>
        </w:p>
      </w:tc>
    </w:tr>
    <w:tr w14:paraId="5D9094C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5D958E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E34E060" w14:textId="77777777">
          <w:pPr>
            <w:jc w:val="right"/>
            <w:rPr>
              <w:b/>
              <w:szCs w:val="16"/>
            </w:rPr>
          </w:pPr>
          <w:bookmarkStart w:id="2" w:name="bmkSymbols"/>
          <w:r w:rsidRPr="002F6A28">
            <w:rPr>
              <w:b/>
              <w:szCs w:val="16"/>
            </w:rPr>
            <w:t>G/TBT/N/CAN/774</w:t>
          </w:r>
          <w:bookmarkEnd w:id="2"/>
        </w:p>
      </w:tc>
    </w:tr>
    <w:tr w14:paraId="05AB0DA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EA837DD" w14:textId="77777777"/>
      </w:tc>
      <w:tc>
        <w:tcPr>
          <w:tcW w:w="5448" w:type="dxa"/>
          <w:gridSpan w:val="2"/>
          <w:shd w:val="clear" w:color="auto" w:fill="FFFFFF"/>
          <w:tcMar>
            <w:left w:w="108" w:type="dxa"/>
            <w:right w:w="108" w:type="dxa"/>
          </w:tcMar>
          <w:vAlign w:val="center"/>
        </w:tcPr>
        <w:p w:rsidR="00ED54E0" w:rsidRPr="009239F7" w:rsidP="00B801E9" w14:paraId="6673DB25" w14:textId="77777777">
          <w:pPr>
            <w:jc w:val="right"/>
            <w:rPr>
              <w:szCs w:val="16"/>
            </w:rPr>
          </w:pPr>
          <w:bookmarkStart w:id="3" w:name="spsDateDistribution"/>
          <w:bookmarkStart w:id="4" w:name="bmkDate"/>
          <w:r w:rsidRPr="009239F7">
            <w:rPr>
              <w:szCs w:val="16"/>
            </w:rPr>
            <w:t>13 March 2026</w:t>
          </w:r>
          <w:bookmarkEnd w:id="3"/>
          <w:bookmarkEnd w:id="4"/>
        </w:p>
      </w:tc>
    </w:tr>
    <w:tr w14:paraId="16C275B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E38B3FD" w14:textId="77777777">
          <w:pPr>
            <w:jc w:val="left"/>
            <w:rPr>
              <w:b/>
            </w:rPr>
          </w:pPr>
          <w:bookmarkStart w:id="5" w:name="bmkSerial"/>
          <w:r>
            <w:rPr>
              <w:rFonts w:ascii="Verdana" w:eastAsia="Verdana" w:hAnsi="Verdana" w:cs="Verdana"/>
              <w:b w:val="0"/>
              <w:color w:val="FF0000"/>
              <w:sz w:val="18"/>
            </w:rPr>
            <w:t>(26-1943)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05DBA5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5E1D7A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D2BE79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85F94F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 French</w:t>
          </w:r>
          <w:bookmarkEnd w:id="9"/>
          <w:bookmarkEnd w:id="8"/>
        </w:p>
      </w:tc>
    </w:tr>
  </w:tbl>
  <w:p w:rsidR="00ED54E0" w:rsidRPr="002F6A28" w14:paraId="241A6C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12435498">
    <w:abstractNumId w:val="9"/>
  </w:num>
  <w:num w:numId="2" w16cid:durableId="1099639769">
    <w:abstractNumId w:val="7"/>
  </w:num>
  <w:num w:numId="3" w16cid:durableId="1624997242">
    <w:abstractNumId w:val="6"/>
  </w:num>
  <w:num w:numId="4" w16cid:durableId="104426428">
    <w:abstractNumId w:val="5"/>
  </w:num>
  <w:num w:numId="5" w16cid:durableId="2077433722">
    <w:abstractNumId w:val="4"/>
  </w:num>
  <w:num w:numId="6" w16cid:durableId="495270873">
    <w:abstractNumId w:val="12"/>
  </w:num>
  <w:num w:numId="7" w16cid:durableId="523515037">
    <w:abstractNumId w:val="11"/>
  </w:num>
  <w:num w:numId="8" w16cid:durableId="1931502006">
    <w:abstractNumId w:val="10"/>
  </w:num>
  <w:num w:numId="9" w16cid:durableId="9354826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11638">
    <w:abstractNumId w:val="13"/>
  </w:num>
  <w:num w:numId="11" w16cid:durableId="1841581402">
    <w:abstractNumId w:val="8"/>
  </w:num>
  <w:num w:numId="12" w16cid:durableId="1875996951">
    <w:abstractNumId w:val="3"/>
  </w:num>
  <w:num w:numId="13" w16cid:durableId="132217241">
    <w:abstractNumId w:val="2"/>
  </w:num>
  <w:num w:numId="14" w16cid:durableId="691802206">
    <w:abstractNumId w:val="1"/>
  </w:num>
  <w:num w:numId="15" w16cid:durableId="2110998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E2CE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D723F"/>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5E9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5621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5192"/>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C653D"/>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20156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canadagazette.gc.ca/rp-pr/p1/2025/2025-02-14-x1/html/extra1-eng.html" TargetMode="External" /><Relationship Id="rId11" Type="http://schemas.openxmlformats.org/officeDocument/2006/relationships/hyperlink" Target="https://canadagazette.gc.ca/rp-pr/p2/2025/2025-03-12/html/sor-dors64-eng.html" TargetMode="External" /><Relationship Id="rId12" Type="http://schemas.openxmlformats.org/officeDocument/2006/relationships/hyperlink" Target="mailto:enquirypoint@international.gc.ca"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gazette.gc.ca/rp-pr/p2/2026/2026-03-11/html/sor-dors38-eng.html" TargetMode="External" /><Relationship Id="rId7" Type="http://schemas.openxmlformats.org/officeDocument/2006/relationships/hyperlink" Target="https://gazette.gc.ca/rp-pr/p2/2026/2026-03-11/html/sor-dors39-eng.html" TargetMode="External" /><Relationship Id="rId8" Type="http://schemas.openxmlformats.org/officeDocument/2006/relationships/hyperlink" Target="https://www.canada.ca/en/health-canada/news/2026/03/health-canada-acts-to-strengthen-controls-on-fentanyl-precursor-chemicals.html" TargetMode="External" /><Relationship Id="rId9" Type="http://schemas.openxmlformats.org/officeDocument/2006/relationships/hyperlink" Target="https://gazette.gc.ca/rp-pr/p2/2025/2025-03-12/html/sor-dors64-eng.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D537F81-FA99-4F6F-B279-FEFB7673E50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2026-03-13T08:42:00Z</dcterms:created>
  <dcterms:modified xsi:type="dcterms:W3CDTF">2026-03-13T08:45:00Z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