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ADAD810" w14:textId="77777777">
      <w:pPr>
        <w:pStyle w:val="Title"/>
      </w:pPr>
      <w:r w:rsidRPr="002F663C">
        <w:t>NOTIFICATION</w:t>
      </w:r>
    </w:p>
    <w:p w:rsidR="002F663C" w:rsidRPr="002F663C" w:rsidP="00DD3DD7" w14:paraId="689FBFD6" w14:textId="77777777">
      <w:pPr>
        <w:pStyle w:val="Title3"/>
      </w:pPr>
      <w:r w:rsidRPr="002F663C">
        <w:t>Addendum</w:t>
      </w:r>
    </w:p>
    <w:p w:rsidR="002F663C" w:rsidP="001E2E4A" w14:paraId="538F5D4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11 March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DF9E274" w14:textId="77777777">
      <w:pPr>
        <w:rPr>
          <w:rFonts w:eastAsia="Calibri" w:cs="Times New Roman"/>
        </w:rPr>
      </w:pPr>
    </w:p>
    <w:p w:rsidR="002F663C" w:rsidRPr="002F663C" w:rsidP="002F663C" w14:paraId="3671536F" w14:textId="77777777">
      <w:pPr>
        <w:jc w:val="center"/>
        <w:rPr>
          <w:rFonts w:eastAsia="Calibri" w:cs="Times New Roman"/>
          <w:b/>
        </w:rPr>
      </w:pPr>
      <w:r w:rsidRPr="002F663C">
        <w:rPr>
          <w:rFonts w:eastAsia="Calibri" w:cs="Times New Roman"/>
          <w:b/>
        </w:rPr>
        <w:t>_______________</w:t>
      </w:r>
    </w:p>
    <w:p w:rsidR="002F663C" w:rsidP="002F663C" w14:paraId="349A9441" w14:textId="77777777">
      <w:pPr>
        <w:rPr>
          <w:rFonts w:eastAsia="Calibri" w:cs="Times New Roman"/>
        </w:rPr>
      </w:pPr>
    </w:p>
    <w:p w:rsidR="00C14444" w:rsidRPr="002F663C" w:rsidP="002F663C" w14:paraId="29364DAB" w14:textId="77777777">
      <w:pPr>
        <w:rPr>
          <w:rFonts w:eastAsia="Calibri" w:cs="Times New Roman"/>
        </w:rPr>
      </w:pPr>
    </w:p>
    <w:p w:rsidR="002F663C" w:rsidRPr="002F663C" w:rsidP="002F663C" w14:paraId="234E5A9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Proposed Amendments to the On-Road Heavy-Duty Engine and Vehicle Omnibus, Low Carbon Fuel Standard Regulations, and to Permanently Adopt the Emergency Vehicle Emissions Regulations</w:t>
      </w:r>
    </w:p>
    <w:p w:rsidR="002F663C" w:rsidRPr="002F663C" w:rsidP="002F663C" w14:paraId="0FF6E313"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65D88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D71FF8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C5A3012" w14:textId="77777777" w:rsidTr="00E9471B">
        <w:tblPrEx>
          <w:tblW w:w="9049" w:type="dxa"/>
          <w:tblLayout w:type="fixed"/>
          <w:tblLook w:val="04A0"/>
        </w:tblPrEx>
        <w:tc>
          <w:tcPr>
            <w:tcW w:w="851" w:type="dxa"/>
          </w:tcPr>
          <w:p w:rsidR="002F663C" w:rsidRPr="00711F9C" w:rsidP="00C14444" w14:paraId="032FB89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8CA1A2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726ECB8" w14:textId="77777777" w:rsidTr="00E9471B">
        <w:tblPrEx>
          <w:tblW w:w="9049" w:type="dxa"/>
          <w:tblLayout w:type="fixed"/>
          <w:tblLook w:val="04A0"/>
        </w:tblPrEx>
        <w:tc>
          <w:tcPr>
            <w:tcW w:w="851" w:type="dxa"/>
          </w:tcPr>
          <w:p w:rsidR="002F663C" w:rsidRPr="00711F9C" w:rsidP="00C14444" w14:paraId="0AF3149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A695D2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59B4195" w14:textId="77777777" w:rsidTr="00E9471B">
        <w:tblPrEx>
          <w:tblW w:w="9049" w:type="dxa"/>
          <w:tblLayout w:type="fixed"/>
          <w:tblLook w:val="04A0"/>
        </w:tblPrEx>
        <w:tc>
          <w:tcPr>
            <w:tcW w:w="851" w:type="dxa"/>
          </w:tcPr>
          <w:p w:rsidR="002F663C" w:rsidRPr="00711F9C" w:rsidP="00C14444" w14:paraId="1B5422F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5CF1D1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FBC4621" w14:textId="77777777" w:rsidTr="00E9471B">
        <w:tblPrEx>
          <w:tblW w:w="9049" w:type="dxa"/>
          <w:tblLayout w:type="fixed"/>
          <w:tblLook w:val="04A0"/>
        </w:tblPrEx>
        <w:tc>
          <w:tcPr>
            <w:tcW w:w="851" w:type="dxa"/>
          </w:tcPr>
          <w:p w:rsidR="002F663C" w:rsidRPr="00711F9C" w:rsidP="00C14444" w14:paraId="602FEF9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A07FE87"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A8EC9D9" w14:textId="77777777" w:rsidTr="00E9471B">
        <w:tblPrEx>
          <w:tblW w:w="9049" w:type="dxa"/>
          <w:tblLayout w:type="fixed"/>
          <w:tblLook w:val="04A0"/>
        </w:tblPrEx>
        <w:tc>
          <w:tcPr>
            <w:tcW w:w="851" w:type="dxa"/>
          </w:tcPr>
          <w:p w:rsidR="002F663C" w:rsidRPr="00711F9C" w:rsidP="00C14444" w14:paraId="44DB25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63E2E9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F79443F" w14:textId="77777777" w:rsidTr="00E9471B">
        <w:tblPrEx>
          <w:tblW w:w="9049" w:type="dxa"/>
          <w:tblLayout w:type="fixed"/>
          <w:tblLook w:val="04A0"/>
        </w:tblPrEx>
        <w:tc>
          <w:tcPr>
            <w:tcW w:w="851" w:type="dxa"/>
          </w:tcPr>
          <w:p w:rsidR="002F663C" w:rsidRPr="00711F9C" w:rsidP="00C14444" w14:paraId="12E265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126FAB2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1059D8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C2A5F22" w14:textId="77777777" w:rsidTr="00E9471B">
        <w:tblPrEx>
          <w:tblW w:w="9049" w:type="dxa"/>
          <w:tblLayout w:type="fixed"/>
          <w:tblLook w:val="04A0"/>
        </w:tblPrEx>
        <w:tc>
          <w:tcPr>
            <w:tcW w:w="851" w:type="dxa"/>
          </w:tcPr>
          <w:p w:rsidR="002F663C" w:rsidRPr="00711F9C" w:rsidP="00C14444" w14:paraId="5A3BF68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96EA557"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4C9C8D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1723792" w14:textId="77777777" w:rsidTr="00E9471B">
        <w:tblPrEx>
          <w:tblW w:w="9049" w:type="dxa"/>
          <w:tblLayout w:type="fixed"/>
          <w:tblLook w:val="04A0"/>
        </w:tblPrEx>
        <w:tc>
          <w:tcPr>
            <w:tcW w:w="851" w:type="dxa"/>
          </w:tcPr>
          <w:p w:rsidR="002F663C" w:rsidRPr="00711F9C" w:rsidP="00C14444" w14:paraId="4090675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ED8E265"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9ACDD83" w14:textId="77777777" w:rsidTr="00E9471B">
        <w:tblPrEx>
          <w:tblW w:w="9049" w:type="dxa"/>
          <w:tblLayout w:type="fixed"/>
          <w:tblLook w:val="04A0"/>
        </w:tblPrEx>
        <w:tc>
          <w:tcPr>
            <w:tcW w:w="851" w:type="dxa"/>
            <w:tcBorders>
              <w:bottom w:val="double" w:sz="4" w:space="0" w:color="auto"/>
            </w:tcBorders>
          </w:tcPr>
          <w:p w:rsidR="002F663C" w:rsidRPr="00711F9C" w:rsidP="00C14444" w14:paraId="75CAD80B"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01CF0F71"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7F9015D3" w14:textId="77777777">
            <w:pPr>
              <w:spacing w:before="120" w:after="120"/>
              <w:rPr>
                <w:rFonts w:eastAsia="Calibri" w:cs="Times New Roman"/>
              </w:rPr>
            </w:pPr>
            <w:r>
              <w:rPr>
                <w:rFonts w:eastAsia="Calibri" w:cs="Times New Roman"/>
              </w:rPr>
              <w:t>Proposed Readoption of Emergency Vehicle Emissions Regulations</w:t>
            </w:r>
          </w:p>
          <w:p w:rsidR="00467A46" w:rsidP="00EB7B40" w14:paraId="55A22D33" w14:textId="77777777">
            <w:pPr>
              <w:spacing w:before="120" w:after="120"/>
              <w:rPr>
                <w:rFonts w:eastAsia="Calibri" w:cs="Times New Roman"/>
              </w:rPr>
            </w:pPr>
            <w:r>
              <w:rPr>
                <w:rFonts w:eastAsia="Calibri" w:cs="Times New Roman"/>
              </w:rPr>
              <w:t>The regulatory text in this proposed readoption will remain unchanged from the initial emergency adoption (G/TBT/N/USA/2036/Rev.1/Add.2). The proposed readoption of the Emergency Vehicle Emissions Regulations will allow protective emissions standards for vehicles and engines to remain operative and ensure that new motor vehicles can continue to be sold in California, despite the ongoing uncertainty introduced by the federal government into the State's longstanding regulatory program.</w:t>
            </w:r>
          </w:p>
        </w:tc>
      </w:tr>
      <w:bookmarkEnd w:id="0"/>
    </w:tbl>
    <w:p w:rsidR="002F663C" w:rsidRPr="002F663C" w:rsidP="002F663C" w14:paraId="07BAB838" w14:textId="77777777">
      <w:pPr>
        <w:jc w:val="left"/>
        <w:rPr>
          <w:rFonts w:eastAsia="Calibri" w:cs="Times New Roman"/>
          <w:highlight w:val="yellow"/>
        </w:rPr>
      </w:pPr>
    </w:p>
    <w:p w:rsidR="003971FF" w:rsidRPr="007F6EA2" w:rsidP="00B16ACF" w14:paraId="2139F6B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California Air Resources Board (CARB or Board) proposes to readopt emergency vehicle emissions regulations (the "Emergency Vehicle Emissions Regulations") for an additional 90 days under California Government Code, section </w:t>
      </w:r>
      <w:hyperlink r:id="rId6" w:history="1">
        <w:r w:rsidRPr="002F663C">
          <w:rPr>
            <w:rFonts w:eastAsia="Calibri" w:cs="Times New Roman"/>
            <w:color w:val="0000FF"/>
            <w:szCs w:val="18"/>
            <w:u w:val="single"/>
          </w:rPr>
          <w:t>11346.1</w:t>
        </w:r>
      </w:hyperlink>
      <w:r w:rsidRPr="002F663C">
        <w:rPr>
          <w:rFonts w:eastAsia="Calibri" w:cs="Times New Roman"/>
          <w:szCs w:val="18"/>
        </w:rPr>
        <w:t xml:space="preserve">, subdivision (h). CARB adopted the Emergency Vehicle Emissions Regulations on 15 September 2025, amending </w:t>
      </w:r>
      <w:hyperlink r:id="rId7" w:history="1">
        <w:r w:rsidRPr="002F663C">
          <w:rPr>
            <w:rFonts w:eastAsia="Calibri" w:cs="Times New Roman"/>
            <w:color w:val="0000FF"/>
            <w:szCs w:val="18"/>
            <w:u w:val="single"/>
          </w:rPr>
          <w:t>California Code of Regulations (CCR)</w:t>
        </w:r>
      </w:hyperlink>
      <w:r w:rsidRPr="002F663C">
        <w:rPr>
          <w:rFonts w:eastAsia="Calibri" w:cs="Times New Roman"/>
          <w:szCs w:val="18"/>
        </w:rPr>
        <w:t xml:space="preserve">, titles 13 and 17, and adopting new sections into California Code of Regulations, titles 13 and 17. The Emergency Vehicle Emissions Regulations confirm that, until a court resolves the uncertainty created by the federal government's actions, certain antecedent regulations </w:t>
      </w:r>
      <w:r w:rsidRPr="002F663C">
        <w:rPr>
          <w:rFonts w:eastAsia="Calibri" w:cs="Times New Roman"/>
          <w:szCs w:val="18"/>
        </w:rPr>
        <w:t>(displaced by Advanced Clean Cars (ACC) II and Omnibus) remain operative (as previously adopted) with the caveat that CARB may enforce ACC II and Omnibus, to the extent permitted by law, in the event a court of law holds invalid the resol</w:t>
      </w:r>
      <w:r w:rsidRPr="002F663C">
        <w:rPr>
          <w:rFonts w:eastAsia="Calibri" w:cs="Times New Roman"/>
          <w:szCs w:val="18"/>
        </w:rPr>
        <w:t>utions purporting to disapprove those waivers.</w:t>
      </w:r>
    </w:p>
    <w:p w:rsidR="008E5734" w:rsidRPr="002F663C" w:rsidP="00B16ACF" w14:paraId="47BA9110" w14:textId="77777777">
      <w:pPr>
        <w:spacing w:before="120" w:after="120"/>
        <w:rPr>
          <w:rFonts w:eastAsia="Calibri" w:cs="Times New Roman"/>
          <w:szCs w:val="18"/>
        </w:rPr>
      </w:pPr>
      <w:r w:rsidRPr="002F663C">
        <w:rPr>
          <w:rFonts w:eastAsia="Calibri" w:cs="Times New Roman"/>
          <w:szCs w:val="18"/>
        </w:rPr>
        <w:t>The Emergency Vehicle Emissions Regulations became effective on 2 October 2025. Unless permanently adopted within a period of 180 days from the effective date or readopted for an additional 90 days, the Emergency Vehicle Emissions Regulations will expire on 1 April 2026. (Government Code section 11346.1, subds. (e) &amp; (h).) This readoption would extend the effectiveness of the Emergency Vehicle Emissions Regulations from 1 April 2026 to 30 June 2026.</w:t>
      </w:r>
    </w:p>
    <w:p w:rsidR="008E5734" w:rsidRPr="002F663C" w:rsidP="00B16ACF" w14:paraId="5B5BF0B2" w14:textId="77777777">
      <w:pPr>
        <w:spacing w:before="120" w:after="120"/>
        <w:rPr>
          <w:rFonts w:eastAsia="Calibri" w:cs="Times New Roman"/>
          <w:szCs w:val="18"/>
        </w:rPr>
      </w:pPr>
      <w:r w:rsidRPr="002F663C">
        <w:rPr>
          <w:rFonts w:eastAsia="Calibri" w:cs="Times New Roman"/>
          <w:szCs w:val="18"/>
        </w:rPr>
        <w:t>Further information from CARB:</w:t>
      </w:r>
    </w:p>
    <w:p w:rsidR="008E5734" w:rsidRPr="002F663C" w:rsidP="00B16ACF" w14:paraId="712DCD5B" w14:textId="77777777">
      <w:pPr>
        <w:spacing w:before="120" w:after="120"/>
        <w:rPr>
          <w:rFonts w:eastAsia="Calibri" w:cs="Times New Roman"/>
          <w:szCs w:val="18"/>
        </w:rPr>
      </w:pPr>
      <w:r w:rsidRPr="002F663C">
        <w:rPr>
          <w:rFonts w:eastAsia="Calibri" w:cs="Times New Roman"/>
          <w:szCs w:val="18"/>
        </w:rPr>
        <w:t>Proposed Emergency Amendment and Adoption of Vehicle Emissions Regulations</w:t>
      </w:r>
    </w:p>
    <w:p w:rsidR="008E5734" w:rsidRPr="002F663C" w:rsidP="00B16ACF" w14:paraId="052BFD18" w14:textId="77777777">
      <w:pPr>
        <w:spacing w:before="120" w:after="120"/>
        <w:rPr>
          <w:rFonts w:eastAsia="Calibri" w:cs="Times New Roman"/>
          <w:szCs w:val="18"/>
        </w:rPr>
      </w:pPr>
      <w:hyperlink r:id="rId8" w:history="1">
        <w:r w:rsidRPr="002F663C">
          <w:rPr>
            <w:rFonts w:eastAsia="Calibri" w:cs="Times New Roman"/>
            <w:color w:val="0000FF"/>
            <w:szCs w:val="18"/>
            <w:u w:val="single"/>
          </w:rPr>
          <w:t>https://ww2.arb.ca.gov/rulemaking/2025/emergencyvehemissions</w:t>
        </w:r>
      </w:hyperlink>
    </w:p>
    <w:p w:rsidR="008E5734" w:rsidRPr="002F663C" w:rsidP="00B16ACF" w14:paraId="03993DE4" w14:textId="77777777">
      <w:pPr>
        <w:spacing w:before="120" w:after="120"/>
        <w:rPr>
          <w:rFonts w:eastAsia="Calibri" w:cs="Times New Roman"/>
          <w:szCs w:val="18"/>
        </w:rPr>
      </w:pPr>
      <w:r w:rsidRPr="002F663C">
        <w:rPr>
          <w:rFonts w:eastAsia="Calibri" w:cs="Times New Roman"/>
          <w:szCs w:val="18"/>
        </w:rPr>
        <w:t>On-Road Heavy-Duty Engine and Vehicle Omnibus, Low Carbon Fuel Standard, and Emergency Vehicle Emissions Regulations</w:t>
      </w:r>
    </w:p>
    <w:p w:rsidR="008E5734" w:rsidRPr="002F663C" w:rsidP="00B16ACF" w14:paraId="28E801D6"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https://ww2.arb.ca.gov/rulemaking/2025/orhdomnibus</w:t>
        </w:r>
      </w:hyperlink>
    </w:p>
    <w:p w:rsidR="008E5734" w:rsidRPr="002F663C" w:rsidP="00B16ACF" w14:paraId="679B3672" w14:textId="77777777">
      <w:pPr>
        <w:spacing w:before="120" w:after="120"/>
        <w:rPr>
          <w:rFonts w:eastAsia="Calibri" w:cs="Times New Roman"/>
          <w:szCs w:val="18"/>
        </w:rPr>
      </w:pPr>
      <w:r w:rsidRPr="002F663C">
        <w:rPr>
          <w:rFonts w:eastAsia="Calibri" w:cs="Times New Roman"/>
          <w:b/>
          <w:bCs/>
          <w:szCs w:val="18"/>
        </w:rPr>
        <w:t>Written Comment Period and Comment Submittal</w:t>
      </w:r>
    </w:p>
    <w:p w:rsidR="008E5734" w:rsidRPr="002F663C" w:rsidP="00B16ACF" w14:paraId="4884AD19" w14:textId="77777777">
      <w:pPr>
        <w:spacing w:before="120" w:after="120"/>
        <w:rPr>
          <w:rFonts w:eastAsia="Calibri" w:cs="Times New Roman"/>
          <w:szCs w:val="18"/>
        </w:rPr>
      </w:pPr>
      <w:r w:rsidRPr="002F663C">
        <w:rPr>
          <w:rFonts w:eastAsia="Calibri" w:cs="Times New Roman"/>
          <w:szCs w:val="18"/>
        </w:rPr>
        <w:t xml:space="preserve">California Government Code section </w:t>
      </w:r>
      <w:hyperlink r:id="rId6" w:history="1">
        <w:r w:rsidRPr="002F663C">
          <w:rPr>
            <w:rFonts w:eastAsia="Calibri" w:cs="Times New Roman"/>
            <w:color w:val="0000FF"/>
            <w:szCs w:val="18"/>
            <w:u w:val="single"/>
          </w:rPr>
          <w:t>11346.1</w:t>
        </w:r>
      </w:hyperlink>
      <w:r w:rsidRPr="002F663C">
        <w:rPr>
          <w:rFonts w:eastAsia="Calibri" w:cs="Times New Roman"/>
          <w:szCs w:val="18"/>
        </w:rPr>
        <w:t xml:space="preserve">(a)(2) requires that, at least five working days prior to submission of the proposed emergency rulemaking to the Office of Administrative Law (OAL), CARB provides a notice of the proposed emergency rulemaking to every person who has filed a request for notice of regulatory action. After submission of the proposed emergency rulemaking to OAL, interested parties will be provided five calendar days to submit comments on the proposed emergency regulations, as set forth in California Government Code section </w:t>
      </w:r>
      <w:hyperlink r:id="rId10" w:history="1">
        <w:r w:rsidRPr="002F663C">
          <w:rPr>
            <w:rFonts w:eastAsia="Calibri" w:cs="Times New Roman"/>
            <w:color w:val="0000FF"/>
            <w:szCs w:val="18"/>
            <w:u w:val="single"/>
          </w:rPr>
          <w:t>11349.6</w:t>
        </w:r>
      </w:hyperlink>
      <w:r w:rsidRPr="002F663C">
        <w:rPr>
          <w:rFonts w:eastAsia="Calibri" w:cs="Times New Roman"/>
          <w:szCs w:val="18"/>
        </w:rPr>
        <w:t>.</w:t>
      </w:r>
    </w:p>
    <w:p w:rsidR="008E5734" w:rsidRPr="002F663C" w:rsidP="00B16ACF" w14:paraId="24F17153" w14:textId="77777777">
      <w:pPr>
        <w:spacing w:before="120" w:after="120"/>
        <w:rPr>
          <w:rFonts w:eastAsia="Calibri" w:cs="Times New Roman"/>
          <w:szCs w:val="18"/>
        </w:rPr>
      </w:pPr>
      <w:r w:rsidRPr="002F663C">
        <w:rPr>
          <w:rFonts w:eastAsia="Calibri" w:cs="Times New Roman"/>
          <w:szCs w:val="18"/>
        </w:rPr>
        <w:t xml:space="preserve">CARB intends to submit this proposed readoption of Emergency Vehicle Emissions Regulations to OAL on 16 March 2026. The submitted action will appear on the list of "Emergency Regulations Under Review" on OAL's website at: </w:t>
      </w:r>
      <w:hyperlink r:id="rId11" w:history="1">
        <w:r w:rsidRPr="002F663C">
          <w:rPr>
            <w:rFonts w:eastAsia="Calibri" w:cs="Times New Roman"/>
            <w:color w:val="0000FF"/>
            <w:szCs w:val="18"/>
            <w:u w:val="single"/>
          </w:rPr>
          <w:t>https://oal.ca.gov/emergency_regulations/Emergency_Regulations_Under_Review/.</w:t>
        </w:r>
      </w:hyperlink>
    </w:p>
    <w:p w:rsidR="008E5734" w:rsidRPr="002F663C" w:rsidP="00B16ACF" w14:paraId="5D953D70"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2" w:history="1">
        <w:r w:rsidRPr="002F663C">
          <w:rPr>
            <w:rFonts w:eastAsia="Calibri" w:cs="Times New Roman"/>
            <w:color w:val="0000FF"/>
            <w:szCs w:val="18"/>
            <w:u w:val="single"/>
          </w:rPr>
          <w:t>USA TBT Enquiry Point</w:t>
        </w:r>
      </w:hyperlink>
      <w:r w:rsidRPr="002F663C">
        <w:rPr>
          <w:rFonts w:eastAsia="Calibri" w:cs="Times New Roman"/>
          <w:szCs w:val="18"/>
        </w:rPr>
        <w:t xml:space="preserve"> within five days of the emergency rulemaking posting described above. Comments received by the USA TBT Enquiry Point from WTO Members and their stakeholders will be shared with CARB.</w:t>
      </w:r>
    </w:p>
    <w:p w:rsidR="006C5A96" w:rsidP="006C5A96" w14:paraId="4162EC0C" w14:textId="77777777">
      <w:pPr>
        <w:jc w:val="center"/>
        <w:rPr>
          <w:b/>
        </w:rPr>
      </w:pPr>
      <w:r w:rsidRPr="003971FF">
        <w:rPr>
          <w:b/>
        </w:rPr>
        <w:t>__________</w:t>
      </w:r>
    </w:p>
    <w:p w:rsidR="004D4D19" w:rsidP="007F38C2" w14:paraId="0B065397" w14:textId="77777777">
      <w:pPr>
        <w:jc w:val="center"/>
        <w:rPr>
          <w:b/>
        </w:rPr>
      </w:pPr>
    </w:p>
    <w:p w:rsidR="00A1565D" w:rsidP="003971FF" w14:paraId="0CC1896C" w14:textId="77777777">
      <w:pPr>
        <w:jc w:val="center"/>
        <w:rPr>
          <w:b/>
        </w:rPr>
      </w:pPr>
    </w:p>
    <w:sectPr w:rsidSect="006C5A96">
      <w:headerReference w:type="even" r:id="rId13"/>
      <w:headerReference w:type="default" r:id="rId14"/>
      <w:footerReference w:type="even" r:id="rId15"/>
      <w:footerReference w:type="default" r:id="rId16"/>
      <w:head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F8016A3"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7E1658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AECE70E" w14:textId="77777777">
      <w:r>
        <w:separator/>
      </w:r>
    </w:p>
  </w:footnote>
  <w:footnote w:type="continuationSeparator" w:id="1">
    <w:p w:rsidR="004D3A6A" w:rsidP="00ED54E0" w14:paraId="4E2A3B55" w14:textId="77777777">
      <w:r>
        <w:continuationSeparator/>
      </w:r>
    </w:p>
  </w:footnote>
  <w:footnote w:id="2">
    <w:p w:rsidR="007F6EA2" w14:paraId="520B60D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24D99C7"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6114316" w14:textId="77777777">
    <w:pPr>
      <w:pStyle w:val="Header"/>
      <w:pBdr>
        <w:bottom w:val="single" w:sz="4" w:space="1" w:color="auto"/>
      </w:pBdr>
      <w:tabs>
        <w:tab w:val="clear" w:pos="4513"/>
        <w:tab w:val="clear" w:pos="9027"/>
      </w:tabs>
      <w:jc w:val="center"/>
    </w:pPr>
  </w:p>
  <w:p w:rsidR="00DD3DD7" w:rsidRPr="00DD3DD7" w:rsidP="00DD3DD7" w14:paraId="5F4743A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BFB8B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735090D" w14:textId="77777777">
    <w:pPr>
      <w:pStyle w:val="Header"/>
      <w:pBdr>
        <w:bottom w:val="single" w:sz="4" w:space="1" w:color="auto"/>
      </w:pBdr>
      <w:tabs>
        <w:tab w:val="clear" w:pos="4513"/>
        <w:tab w:val="clear" w:pos="9027"/>
      </w:tabs>
      <w:jc w:val="center"/>
    </w:pPr>
    <w:bookmarkStart w:id="3" w:name="spsSymbolHeader"/>
    <w:r w:rsidRPr="00DD3DD7">
      <w:t>G/TBT/N/USA/2036/Rev.1/Add.3</w:t>
    </w:r>
    <w:bookmarkEnd w:id="3"/>
  </w:p>
  <w:p w:rsidR="00DD3DD7" w:rsidRPr="00DD3DD7" w:rsidP="00DD3DD7" w14:paraId="68A9050C" w14:textId="77777777">
    <w:pPr>
      <w:pStyle w:val="Header"/>
      <w:pBdr>
        <w:bottom w:val="single" w:sz="4" w:space="1" w:color="auto"/>
      </w:pBdr>
      <w:tabs>
        <w:tab w:val="clear" w:pos="4513"/>
        <w:tab w:val="clear" w:pos="9027"/>
      </w:tabs>
      <w:jc w:val="center"/>
    </w:pPr>
  </w:p>
  <w:p w:rsidR="00DD3DD7" w:rsidRPr="00DD3DD7" w:rsidP="00DD3DD7" w14:paraId="3733889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4F0B933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A81EE0"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DA667C1"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3E70498" w14:textId="77777777">
          <w:pPr>
            <w:jc w:val="right"/>
            <w:rPr>
              <w:b/>
              <w:color w:val="FF0000"/>
              <w:szCs w:val="16"/>
            </w:rPr>
          </w:pPr>
          <w:r>
            <w:rPr>
              <w:b/>
              <w:color w:val="FF0000"/>
              <w:szCs w:val="16"/>
            </w:rPr>
            <w:t xml:space="preserve"> </w:t>
          </w:r>
        </w:p>
      </w:tc>
    </w:tr>
    <w:tr w14:paraId="39536775"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CB5412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0925853" w14:textId="77777777">
          <w:pPr>
            <w:jc w:val="right"/>
            <w:rPr>
              <w:b/>
              <w:szCs w:val="16"/>
            </w:rPr>
          </w:pPr>
        </w:p>
      </w:tc>
    </w:tr>
    <w:tr w14:paraId="710B55C3"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FB4BE5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3F79481" w14:textId="77777777">
          <w:pPr>
            <w:jc w:val="right"/>
            <w:rPr>
              <w:rFonts w:eastAsia="Calibri" w:cs="Times New Roman"/>
              <w:b/>
              <w:szCs w:val="16"/>
            </w:rPr>
          </w:pPr>
          <w:bookmarkStart w:id="4" w:name="bmkSymbols"/>
          <w:r w:rsidRPr="002F663C">
            <w:rPr>
              <w:rFonts w:eastAsia="Calibri" w:cs="Times New Roman"/>
              <w:b/>
              <w:szCs w:val="16"/>
            </w:rPr>
            <w:t>G/TBT/N/USA/2036/Rev.1/Add.3</w:t>
          </w:r>
          <w:bookmarkEnd w:id="4"/>
        </w:p>
        <w:p w:rsidR="00C14444" w:rsidRPr="00C14444" w:rsidP="00C14444" w14:paraId="2C0904D6" w14:textId="77777777">
          <w:pPr>
            <w:jc w:val="center"/>
            <w:rPr>
              <w:szCs w:val="16"/>
            </w:rPr>
          </w:pPr>
        </w:p>
      </w:tc>
    </w:tr>
    <w:tr w14:paraId="01D756D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AE619BE" w14:textId="77777777"/>
      </w:tc>
      <w:tc>
        <w:tcPr>
          <w:tcW w:w="5448" w:type="dxa"/>
          <w:gridSpan w:val="2"/>
          <w:shd w:val="clear" w:color="auto" w:fill="FFFFFF"/>
          <w:tcMar>
            <w:left w:w="108" w:type="dxa"/>
            <w:right w:w="108" w:type="dxa"/>
          </w:tcMar>
          <w:vAlign w:val="center"/>
        </w:tcPr>
        <w:p w:rsidR="00ED54E0" w:rsidRPr="00182B84" w:rsidP="00425DC5" w14:paraId="48766A43" w14:textId="77777777">
          <w:pPr>
            <w:jc w:val="right"/>
            <w:rPr>
              <w:szCs w:val="16"/>
            </w:rPr>
          </w:pPr>
          <w:bookmarkStart w:id="5" w:name="bmkDate"/>
          <w:r w:rsidRPr="00182B84">
            <w:rPr>
              <w:szCs w:val="16"/>
            </w:rPr>
            <w:t>12 March 2026</w:t>
          </w:r>
          <w:bookmarkEnd w:id="5"/>
        </w:p>
      </w:tc>
    </w:tr>
    <w:tr w14:paraId="630407E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D2A7EE5" w14:textId="77777777">
          <w:pPr>
            <w:jc w:val="left"/>
            <w:rPr>
              <w:b/>
            </w:rPr>
          </w:pPr>
          <w:bookmarkStart w:id="6" w:name="bmkSerial"/>
          <w:r>
            <w:rPr>
              <w:rFonts w:ascii="Verdana" w:eastAsia="Verdana" w:hAnsi="Verdana" w:cs="Verdana"/>
              <w:b w:val="0"/>
              <w:color w:val="FF0000"/>
              <w:sz w:val="18"/>
            </w:rPr>
            <w:t>(26-1928)</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252F169"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FADB15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CB13DE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26A0BE3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5788E3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34653831">
    <w:abstractNumId w:val="9"/>
  </w:num>
  <w:num w:numId="2" w16cid:durableId="1190803105">
    <w:abstractNumId w:val="7"/>
  </w:num>
  <w:num w:numId="3" w16cid:durableId="1091048625">
    <w:abstractNumId w:val="6"/>
  </w:num>
  <w:num w:numId="4" w16cid:durableId="81025637">
    <w:abstractNumId w:val="5"/>
  </w:num>
  <w:num w:numId="5" w16cid:durableId="1051226441">
    <w:abstractNumId w:val="4"/>
  </w:num>
  <w:num w:numId="6" w16cid:durableId="1349601159">
    <w:abstractNumId w:val="12"/>
  </w:num>
  <w:num w:numId="7" w16cid:durableId="1600871375">
    <w:abstractNumId w:val="11"/>
  </w:num>
  <w:num w:numId="8" w16cid:durableId="1482959473">
    <w:abstractNumId w:val="10"/>
  </w:num>
  <w:num w:numId="9" w16cid:durableId="4526009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1906324">
    <w:abstractNumId w:val="13"/>
  </w:num>
  <w:num w:numId="11" w16cid:durableId="676814122">
    <w:abstractNumId w:val="8"/>
  </w:num>
  <w:num w:numId="12" w16cid:durableId="2146896155">
    <w:abstractNumId w:val="3"/>
  </w:num>
  <w:num w:numId="13" w16cid:durableId="930359571">
    <w:abstractNumId w:val="2"/>
  </w:num>
  <w:num w:numId="14" w16cid:durableId="1330599412">
    <w:abstractNumId w:val="1"/>
  </w:num>
  <w:num w:numId="15" w16cid:durableId="1836339666">
    <w:abstractNumId w:val="0"/>
  </w:num>
  <w:num w:numId="16" w16cid:durableId="76215006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D119A"/>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E5734"/>
    <w:rsid w:val="00917235"/>
    <w:rsid w:val="00992AEA"/>
    <w:rsid w:val="009A4D36"/>
    <w:rsid w:val="009A6F54"/>
    <w:rsid w:val="009B5192"/>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240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leginfo.legislature.ca.gov/faces/codes_displaySection.xhtml?lawCode=GOV&amp;sectionNum=11349.6." TargetMode="External" /><Relationship Id="rId11" Type="http://schemas.openxmlformats.org/officeDocument/2006/relationships/hyperlink" Target="https://oal.ca.gov/emergency_regulations/Emergency_Regulations_Under_Review/." TargetMode="External" /><Relationship Id="rId12" Type="http://schemas.openxmlformats.org/officeDocument/2006/relationships/hyperlink" Target="mailto:usatbtep@nist.gov"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leginfo.legislature.ca.gov/faces/codes_displaySection.xhtml?sectionNum=11346.1.&amp;lawCode=GOV" TargetMode="External" /><Relationship Id="rId7" Type="http://schemas.openxmlformats.org/officeDocument/2006/relationships/hyperlink" Target="https://govt.westlaw.com/calregs/Index?bhcp=1&amp;transitionType=Default&amp;contextData=%28sc.Default%29" TargetMode="External" /><Relationship Id="rId8" Type="http://schemas.openxmlformats.org/officeDocument/2006/relationships/hyperlink" Target="https://ww2.arb.ca.gov/rulemaking/2025/emergencyvehemissions" TargetMode="External" /><Relationship Id="rId9" Type="http://schemas.openxmlformats.org/officeDocument/2006/relationships/hyperlink" Target="https://ww2.arb.ca.gov/rulemaking/2025/orhdomnibu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2026-03-12T07:57:00Z</dcterms:created>
  <dcterms:modified xsi:type="dcterms:W3CDTF">2026-03-12T07:57:00Z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