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E0D0AF3" w14:textId="77777777">
      <w:pPr>
        <w:pStyle w:val="Title"/>
        <w:rPr>
          <w:caps w:val="0"/>
          <w:kern w:val="0"/>
        </w:rPr>
      </w:pPr>
      <w:r w:rsidRPr="002F6A28">
        <w:rPr>
          <w:caps w:val="0"/>
          <w:kern w:val="0"/>
        </w:rPr>
        <w:t>NOTIFICATION</w:t>
      </w:r>
    </w:p>
    <w:p w:rsidR="009239F7" w:rsidRPr="002F6A28" w:rsidP="002F6A28" w14:paraId="0569F302" w14:textId="77777777">
      <w:pPr>
        <w:jc w:val="center"/>
      </w:pPr>
      <w:r w:rsidRPr="002F6A28">
        <w:t>The following notification is being circulated in accordance with Article 10.6</w:t>
      </w:r>
    </w:p>
    <w:p w:rsidR="009239F7" w:rsidRPr="002F6A28" w:rsidP="002F6A28" w14:paraId="4C9C486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71DD20E" w14:textId="77777777" w:rsidTr="00DB13FE">
        <w:tblPrEx>
          <w:tblW w:w="5000" w:type="pct"/>
          <w:tblLayout w:type="fixed"/>
          <w:tblLook w:val="0000"/>
        </w:tblPrEx>
        <w:tc>
          <w:tcPr>
            <w:tcW w:w="607" w:type="dxa"/>
            <w:tcBorders>
              <w:top w:val="double" w:sz="4" w:space="0" w:color="auto"/>
            </w:tcBorders>
          </w:tcPr>
          <w:p w:rsidR="00F85C99" w:rsidRPr="002F6A28" w:rsidP="002F6A28" w14:paraId="2292657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54C76F3"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417C42D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1472948" w14:textId="77777777" w:rsidTr="00DB13FE">
        <w:tblPrEx>
          <w:tblW w:w="5000" w:type="pct"/>
          <w:tblLayout w:type="fixed"/>
          <w:tblLook w:val="0000"/>
        </w:tblPrEx>
        <w:tc>
          <w:tcPr>
            <w:tcW w:w="607" w:type="dxa"/>
          </w:tcPr>
          <w:p w:rsidR="00F85C99" w:rsidRPr="002F6A28" w:rsidP="002F6A28" w14:paraId="2E103EA6" w14:textId="77777777">
            <w:pPr>
              <w:spacing w:before="120" w:after="120"/>
              <w:jc w:val="left"/>
            </w:pPr>
            <w:r w:rsidRPr="002F6A28">
              <w:rPr>
                <w:b/>
              </w:rPr>
              <w:t>2.</w:t>
            </w:r>
          </w:p>
        </w:tc>
        <w:tc>
          <w:tcPr>
            <w:tcW w:w="8373" w:type="dxa"/>
          </w:tcPr>
          <w:p w:rsidR="00F85C99" w:rsidRPr="002F6A28" w:rsidP="000C3B6C" w14:paraId="40403ECC" w14:textId="77777777">
            <w:pPr>
              <w:spacing w:before="120" w:after="120"/>
            </w:pPr>
            <w:r w:rsidRPr="002F6A28">
              <w:rPr>
                <w:b/>
              </w:rPr>
              <w:t>Agency responsible:</w:t>
            </w:r>
            <w:r w:rsidRPr="00C379C8" w:rsidR="00EE3A11">
              <w:t xml:space="preserve"> </w:t>
            </w:r>
          </w:p>
          <w:p w:rsidR="00EE3A11" w:rsidRPr="00C379C8" w:rsidP="000C3B6C" w14:paraId="7BB5DF70" w14:textId="77777777">
            <w:r w:rsidRPr="00C379C8">
              <w:t>European Commission</w:t>
            </w:r>
          </w:p>
          <w:p w:rsidR="00EE3A11" w:rsidRPr="00C379C8" w:rsidP="000C3B6C" w14:paraId="0B49C8E5" w14:textId="77777777">
            <w:r w:rsidRPr="00C379C8">
              <w:t>EU-TBT Enquiry Point,</w:t>
            </w:r>
          </w:p>
          <w:p w:rsidR="00EE3A11" w:rsidRPr="00C379C8" w:rsidP="000C3B6C" w14:paraId="28ACC0C0" w14:textId="77777777">
            <w:r w:rsidRPr="00C379C8">
              <w:t>Fax: +(32) 2 299 80 43,</w:t>
            </w:r>
          </w:p>
          <w:p w:rsidR="00EE3A11" w:rsidRPr="00C379C8" w:rsidP="000C3B6C" w14:paraId="066B4B23" w14:textId="77777777">
            <w:r w:rsidRPr="00C379C8">
              <w:t xml:space="preserve">E-mail: </w:t>
            </w:r>
            <w:hyperlink r:id="rId6" w:history="1">
              <w:r w:rsidRPr="00C379C8">
                <w:rPr>
                  <w:color w:val="0000FF"/>
                  <w:u w:val="single"/>
                </w:rPr>
                <w:t>grow-eu-tbt@ec.europa.eu</w:t>
              </w:r>
            </w:hyperlink>
          </w:p>
          <w:p w:rsidR="00EE3A11" w:rsidRPr="00C379C8" w:rsidP="000C3B6C" w14:paraId="5D2E38D5"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438AFE57" w14:textId="77777777" w:rsidTr="00DB13FE">
        <w:tblPrEx>
          <w:tblW w:w="5000" w:type="pct"/>
          <w:tblLayout w:type="fixed"/>
          <w:tblLook w:val="0000"/>
        </w:tblPrEx>
        <w:tc>
          <w:tcPr>
            <w:tcW w:w="607" w:type="dxa"/>
          </w:tcPr>
          <w:p w:rsidR="00F85C99" w:rsidRPr="002F6A28" w:rsidP="002F6A28" w14:paraId="32078A32" w14:textId="77777777">
            <w:pPr>
              <w:spacing w:before="120" w:after="120"/>
              <w:jc w:val="left"/>
              <w:rPr>
                <w:b/>
              </w:rPr>
            </w:pPr>
            <w:r w:rsidRPr="002F6A28">
              <w:rPr>
                <w:b/>
              </w:rPr>
              <w:t>3.</w:t>
            </w:r>
          </w:p>
        </w:tc>
        <w:tc>
          <w:tcPr>
            <w:tcW w:w="8373" w:type="dxa"/>
          </w:tcPr>
          <w:p w:rsidR="00F85C99" w:rsidRPr="0058336F" w:rsidP="002F6A28" w14:paraId="664D6E3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9A73B96" w14:textId="77777777" w:rsidTr="00DB13FE">
        <w:tblPrEx>
          <w:tblW w:w="5000" w:type="pct"/>
          <w:tblLayout w:type="fixed"/>
          <w:tblLook w:val="0000"/>
        </w:tblPrEx>
        <w:tc>
          <w:tcPr>
            <w:tcW w:w="607" w:type="dxa"/>
          </w:tcPr>
          <w:p w:rsidR="00F85C99" w:rsidRPr="002F6A28" w:rsidP="002F6A28" w14:paraId="464C23D3" w14:textId="77777777">
            <w:pPr>
              <w:spacing w:before="120" w:after="120"/>
              <w:jc w:val="left"/>
            </w:pPr>
            <w:r w:rsidRPr="002F6A28">
              <w:rPr>
                <w:b/>
              </w:rPr>
              <w:t>4.</w:t>
            </w:r>
          </w:p>
        </w:tc>
        <w:tc>
          <w:tcPr>
            <w:tcW w:w="8373" w:type="dxa"/>
          </w:tcPr>
          <w:p w:rsidR="00F85C99" w:rsidRPr="002F6A28" w:rsidP="002F6A28" w14:paraId="720735C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Single-use plastic beverage bottles that are made of polyethylene terephthalate as the major component, including caps, lids, labels and sleeves, with a volume of up to 3 litres (hereafter referred to as "PET bottles") and intermediate materials of the supply chain of recycled plastic that is used in such bottles</w:t>
            </w:r>
          </w:p>
        </w:tc>
      </w:tr>
      <w:tr w14:paraId="339A8475" w14:textId="77777777" w:rsidTr="00DB13FE">
        <w:tblPrEx>
          <w:tblW w:w="5000" w:type="pct"/>
          <w:tblLayout w:type="fixed"/>
          <w:tblLook w:val="0000"/>
        </w:tblPrEx>
        <w:tc>
          <w:tcPr>
            <w:tcW w:w="607" w:type="dxa"/>
          </w:tcPr>
          <w:p w:rsidR="00F85C99" w:rsidRPr="002F6A28" w:rsidP="002F6A28" w14:paraId="3FA59BC5" w14:textId="77777777">
            <w:pPr>
              <w:spacing w:before="120" w:after="120"/>
              <w:jc w:val="left"/>
            </w:pPr>
            <w:r w:rsidRPr="002F6A28">
              <w:rPr>
                <w:b/>
              </w:rPr>
              <w:t>5.</w:t>
            </w:r>
          </w:p>
        </w:tc>
        <w:tc>
          <w:tcPr>
            <w:tcW w:w="8373" w:type="dxa"/>
          </w:tcPr>
          <w:p w:rsidR="00F85C99" w:rsidP="002F6A28" w14:paraId="4F55A9D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Commission Implementing Decision laying down rules for the application of Directive (EU) 2019/904 of the European Parliament and of the Council as regards the calculation, verification and reporting of data on recycled plastic content in single-use plastic beverage bottles and repealing Commission Implementing Decision (EU) 2023/2683; </w:t>
            </w:r>
            <w:hyperlink r:id="rId8" w:history="1">
              <w:r w:rsidRPr="00C379C8" w:rsidR="00EE3A11">
                <w:rPr>
                  <w:color w:val="0000FF"/>
                  <w:u w:val="single"/>
                </w:rPr>
                <w:t>D113092/01 - Comitology Register</w:t>
              </w:r>
            </w:hyperlink>
            <w:r w:rsidRPr="00C379C8" w:rsidR="00EE3A11">
              <w:t>; (19 page(s), in English), (17 page(s), in English)</w:t>
            </w:r>
          </w:p>
          <w:p w:rsidR="000C3B6C" w:rsidRPr="000C3B6C" w:rsidP="002F6A28" w14:paraId="2461455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A7E3C" w:rsidRPr="00CE6C29" w:rsidP="002F6A28" w14:paraId="42AE0933" w14:textId="77777777">
            <w:pPr>
              <w:pBdr>
                <w:top w:val="none" w:sz="0" w:space="4" w:color="auto"/>
              </w:pBdr>
              <w:rPr>
                <w:iCs/>
              </w:rPr>
            </w:pPr>
            <w:hyperlink r:id="rId9" w:tgtFrame="_blank" w:history="1">
              <w:r w:rsidRPr="00CE6C29">
                <w:rPr>
                  <w:iCs/>
                  <w:color w:val="0000FF"/>
                  <w:u w:val="single"/>
                </w:rPr>
                <w:t>https://members.wto.org/crnattachments/2026/TBT/EEC/26_01339_00_e.pdf</w:t>
              </w:r>
            </w:hyperlink>
          </w:p>
          <w:p w:rsidR="00BA7E3C" w:rsidRPr="00CE6C29" w:rsidP="002F6A28" w14:paraId="29A3C744" w14:textId="77777777">
            <w:pPr>
              <w:pBdr>
                <w:bottom w:val="none" w:sz="0" w:space="4" w:color="auto"/>
              </w:pBdr>
              <w:rPr>
                <w:iCs/>
              </w:rPr>
            </w:pPr>
            <w:hyperlink r:id="rId10" w:tgtFrame="_blank" w:history="1">
              <w:r w:rsidRPr="00CE6C29">
                <w:rPr>
                  <w:iCs/>
                  <w:color w:val="0000FF"/>
                  <w:u w:val="single"/>
                </w:rPr>
                <w:t>https://members.wto.org/crnattachments/2026/TBT/EEC/26_01339_01_e.pdf</w:t>
              </w:r>
            </w:hyperlink>
          </w:p>
          <w:p w:rsidR="00BA7E3C" w:rsidRPr="00652639" w:rsidP="002F6A28" w14:paraId="0B203819" w14:textId="77777777">
            <w:pPr>
              <w:rPr>
                <w:iCs/>
                <w:lang w:val="fr-CH"/>
              </w:rPr>
            </w:pPr>
            <w:r w:rsidRPr="00652639">
              <w:rPr>
                <w:iCs/>
                <w:lang w:val="fr-CH"/>
              </w:rPr>
              <w:t>European Commission</w:t>
            </w:r>
          </w:p>
          <w:p w:rsidR="00BA7E3C" w:rsidRPr="00652639" w:rsidP="002F6A28" w14:paraId="6E14D9FE" w14:textId="77777777">
            <w:pPr>
              <w:rPr>
                <w:iCs/>
                <w:lang w:val="fr-CH"/>
              </w:rPr>
            </w:pPr>
            <w:r w:rsidRPr="00652639">
              <w:rPr>
                <w:iCs/>
                <w:lang w:val="fr-CH"/>
              </w:rPr>
              <w:t>EU-TBT Enquiry Point</w:t>
            </w:r>
          </w:p>
          <w:p w:rsidR="00BA7E3C" w:rsidRPr="00652639" w:rsidP="002F6A28" w14:paraId="30FBC6FB" w14:textId="77777777">
            <w:pPr>
              <w:rPr>
                <w:iCs/>
                <w:lang w:val="fr-CH"/>
              </w:rPr>
            </w:pPr>
            <w:r w:rsidRPr="00652639">
              <w:rPr>
                <w:iCs/>
                <w:lang w:val="fr-CH"/>
              </w:rPr>
              <w:t>Fax: + (32) 2 299 80 43</w:t>
            </w:r>
          </w:p>
          <w:p w:rsidR="00BA7E3C" w:rsidRPr="00652639" w:rsidP="002F6A28" w14:paraId="460D5FA1" w14:textId="77777777">
            <w:pPr>
              <w:rPr>
                <w:iCs/>
                <w:lang w:val="fr-CH"/>
              </w:rPr>
            </w:pPr>
            <w:r w:rsidRPr="00652639">
              <w:rPr>
                <w:iCs/>
                <w:lang w:val="fr-CH"/>
              </w:rPr>
              <w:t xml:space="preserve">E-mail: </w:t>
            </w:r>
            <w:hyperlink r:id="rId6" w:history="1">
              <w:r w:rsidRPr="00652639">
                <w:rPr>
                  <w:iCs/>
                  <w:color w:val="0000FF"/>
                  <w:u w:val="single"/>
                  <w:lang w:val="fr-CH"/>
                </w:rPr>
                <w:t>grow-eu-tbt@ec.europa.eu</w:t>
              </w:r>
            </w:hyperlink>
          </w:p>
          <w:p w:rsidR="00BA7E3C" w:rsidRPr="00CE6C29" w:rsidP="002F6A28" w14:paraId="0A1A722B"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17CDAE70" w14:textId="77777777" w:rsidTr="009A19DB">
        <w:tblPrEx>
          <w:tblW w:w="5000" w:type="pct"/>
          <w:tblLayout w:type="fixed"/>
          <w:tblLook w:val="0000"/>
        </w:tblPrEx>
        <w:trPr>
          <w:cantSplit/>
        </w:trPr>
        <w:tc>
          <w:tcPr>
            <w:tcW w:w="607" w:type="dxa"/>
          </w:tcPr>
          <w:p w:rsidR="00F85C99" w:rsidRPr="002F6A28" w:rsidP="002F6A28" w14:paraId="49D8561E" w14:textId="77777777">
            <w:pPr>
              <w:spacing w:before="120" w:after="120"/>
              <w:jc w:val="left"/>
              <w:rPr>
                <w:b/>
              </w:rPr>
            </w:pPr>
            <w:r w:rsidRPr="002F6A28">
              <w:rPr>
                <w:b/>
              </w:rPr>
              <w:t>6.</w:t>
            </w:r>
          </w:p>
        </w:tc>
        <w:tc>
          <w:tcPr>
            <w:tcW w:w="8373" w:type="dxa"/>
          </w:tcPr>
          <w:p w:rsidR="00F85C99" w:rsidRPr="002F6A28" w:rsidP="002F6A28" w14:paraId="0B6CA008" w14:textId="77777777">
            <w:pPr>
              <w:spacing w:before="120" w:after="120"/>
              <w:rPr>
                <w:b/>
              </w:rPr>
            </w:pPr>
            <w:r w:rsidRPr="002F6A28">
              <w:rPr>
                <w:b/>
              </w:rPr>
              <w:t>Description of content:</w:t>
            </w:r>
            <w:r w:rsidRPr="00C379C8" w:rsidR="00FE448B">
              <w:t xml:space="preserve"> The implementing decision lays down rules for the calculation, verification and reporting of recycled content in PET bottles. EU Member States will have to apply these rules to demonstrate compliance with the recycled plastic content targets set in Article 6(5) of the Single-Use Plastics Directive (EU) 2019/904. </w:t>
            </w:r>
          </w:p>
          <w:p w:rsidR="00FE448B" w:rsidRPr="00C379C8" w:rsidP="002F6A28" w14:paraId="6144124B" w14:textId="77777777">
            <w:pPr>
              <w:spacing w:before="120" w:after="120"/>
            </w:pPr>
            <w:r w:rsidRPr="00C379C8">
              <w:t>The rules depend on the applied recycling technologies: For the mechanical recycling of PET, they are based on the system that is already established by EU food contact legislation (Regulation (EU) 2022/1616 on the use of recycled plastic materials in articles intended to come into contact with food). For chemical recycling, mass balance accounting has to be applied, and chemical recyclers are subject to additional third-party certification.</w:t>
            </w:r>
          </w:p>
          <w:p w:rsidR="00FE448B" w:rsidRPr="00C379C8" w:rsidP="002F6A28" w14:paraId="0B7EBAB7" w14:textId="77777777">
            <w:pPr>
              <w:spacing w:before="120" w:after="120"/>
            </w:pPr>
            <w:r w:rsidRPr="00C379C8">
              <w:t>The geographical scope for the recycling (including sorting) to take place in order to allow the output to count as recycled content is part of the definition of "recycled plastic" in Article 1(1).</w:t>
            </w:r>
          </w:p>
        </w:tc>
      </w:tr>
      <w:tr w14:paraId="0E2563DC" w14:textId="77777777" w:rsidTr="00DB13FE">
        <w:tblPrEx>
          <w:tblW w:w="5000" w:type="pct"/>
          <w:tblLayout w:type="fixed"/>
          <w:tblLook w:val="0000"/>
        </w:tblPrEx>
        <w:tc>
          <w:tcPr>
            <w:tcW w:w="607" w:type="dxa"/>
          </w:tcPr>
          <w:p w:rsidR="00F85C99" w:rsidRPr="002F6A28" w:rsidP="002F6A28" w14:paraId="48A9BBC1" w14:textId="77777777">
            <w:pPr>
              <w:spacing w:before="120" w:after="120"/>
              <w:jc w:val="left"/>
              <w:rPr>
                <w:b/>
              </w:rPr>
            </w:pPr>
            <w:r w:rsidRPr="002F6A28">
              <w:rPr>
                <w:b/>
              </w:rPr>
              <w:t>7.</w:t>
            </w:r>
          </w:p>
        </w:tc>
        <w:tc>
          <w:tcPr>
            <w:tcW w:w="8373" w:type="dxa"/>
          </w:tcPr>
          <w:p w:rsidR="00F85C99" w:rsidRPr="002F6A28" w:rsidP="002F6A28" w14:paraId="3294B661" w14:textId="77777777">
            <w:pPr>
              <w:spacing w:before="120" w:after="120"/>
              <w:rPr>
                <w:b/>
              </w:rPr>
            </w:pPr>
            <w:r w:rsidRPr="002F6A28">
              <w:rPr>
                <w:b/>
              </w:rPr>
              <w:t>Objective and rationale, including the nature of urgent problems where applicable:</w:t>
            </w:r>
            <w:r w:rsidRPr="00C379C8" w:rsidR="00EE3A11">
              <w:t xml:space="preserve"> Global plastic pollution negatively affects animal and plant life as well as human health. The Single-Use Plastics Directive (EU) 2019/904 introduced measures to reduce the negative effects caused by the littering of certain plastic products on the environment and human health and to increase the circularity of the plastics industry. These measures include targets for the minimum recycled content in single-use plastic beverage bottles on EU Member State level. The notified measure ensures that recycled plastic contributing to these targets has been recycled in an environmentally sound manner. This is necessary to preserve the environmental added value of promoting recycled content and to avoid situations in which inadequate waste collection and management practices as well as pollutant emissions undermine the sustainability benefits of substituting virgin with recycled materials.; Protection of human health or safety; Protection of animal or plant life or health</w:t>
            </w:r>
          </w:p>
        </w:tc>
      </w:tr>
      <w:tr w14:paraId="3759A21E" w14:textId="77777777" w:rsidTr="00DB13FE">
        <w:tblPrEx>
          <w:tblW w:w="5000" w:type="pct"/>
          <w:tblLayout w:type="fixed"/>
          <w:tblLook w:val="0000"/>
        </w:tblPrEx>
        <w:tc>
          <w:tcPr>
            <w:tcW w:w="607" w:type="dxa"/>
          </w:tcPr>
          <w:p w:rsidR="00F85C99" w:rsidRPr="002F6A28" w:rsidP="009E75ED" w14:paraId="4B74A060" w14:textId="77777777">
            <w:pPr>
              <w:spacing w:before="120" w:after="120"/>
              <w:jc w:val="left"/>
              <w:rPr>
                <w:b/>
              </w:rPr>
            </w:pPr>
            <w:r w:rsidRPr="002F6A28">
              <w:rPr>
                <w:b/>
              </w:rPr>
              <w:t>8.</w:t>
            </w:r>
          </w:p>
        </w:tc>
        <w:tc>
          <w:tcPr>
            <w:tcW w:w="8373" w:type="dxa"/>
          </w:tcPr>
          <w:p w:rsidR="000C3B6C" w:rsidRPr="00EC00D2" w:rsidP="007F13E8" w14:paraId="54395838" w14:textId="77777777">
            <w:pPr>
              <w:spacing w:before="120" w:after="120"/>
              <w:rPr>
                <w:bCs/>
              </w:rPr>
            </w:pPr>
            <w:r w:rsidRPr="002F6A28">
              <w:rPr>
                <w:b/>
              </w:rPr>
              <w:t>Relevant documents:</w:t>
            </w:r>
            <w:r w:rsidRPr="002F6A28" w:rsidR="00EE3A11">
              <w:t xml:space="preserve"> </w:t>
            </w:r>
          </w:p>
          <w:p w:rsidR="00EE3A11" w:rsidRPr="002F6A28" w:rsidP="007F13E8" w14:paraId="36FA31EA" w14:textId="77777777">
            <w:pPr>
              <w:spacing w:before="120" w:after="120"/>
            </w:pPr>
            <w:r w:rsidRPr="002F6A28">
              <w:t>-</w:t>
            </w:r>
          </w:p>
        </w:tc>
      </w:tr>
      <w:tr w14:paraId="26F7BCDA" w14:textId="77777777" w:rsidTr="00DB13FE">
        <w:tblPrEx>
          <w:tblW w:w="5000" w:type="pct"/>
          <w:tblLayout w:type="fixed"/>
          <w:tblLook w:val="0000"/>
        </w:tblPrEx>
        <w:tc>
          <w:tcPr>
            <w:tcW w:w="607" w:type="dxa"/>
          </w:tcPr>
          <w:p w:rsidR="00EE3A11" w:rsidRPr="002F6A28" w:rsidP="002F6A28" w14:paraId="04AD3703" w14:textId="77777777">
            <w:pPr>
              <w:spacing w:before="120" w:after="120"/>
              <w:jc w:val="left"/>
              <w:rPr>
                <w:b/>
              </w:rPr>
            </w:pPr>
            <w:r w:rsidRPr="002F6A28">
              <w:rPr>
                <w:b/>
              </w:rPr>
              <w:t>9.</w:t>
            </w:r>
          </w:p>
        </w:tc>
        <w:tc>
          <w:tcPr>
            <w:tcW w:w="8373" w:type="dxa"/>
          </w:tcPr>
          <w:p w:rsidR="00EE3A11" w:rsidRPr="002F6A28" w:rsidP="008953C4" w14:paraId="042426F7" w14:textId="77777777">
            <w:pPr>
              <w:spacing w:before="120" w:after="120"/>
            </w:pPr>
            <w:r w:rsidRPr="002F6A28">
              <w:rPr>
                <w:b/>
              </w:rPr>
              <w:t>Proposed date of adoption:</w:t>
            </w:r>
            <w:r w:rsidRPr="00C379C8">
              <w:t xml:space="preserve"> Q2/2026 (1 week after final date for comments)</w:t>
            </w:r>
          </w:p>
          <w:p w:rsidR="00EE3A11" w:rsidRPr="002F6A28" w:rsidP="008953C4" w14:paraId="79F78008" w14:textId="77777777">
            <w:pPr>
              <w:spacing w:after="120"/>
            </w:pPr>
            <w:r w:rsidRPr="002F6A28">
              <w:rPr>
                <w:b/>
              </w:rPr>
              <w:t>Proposed date of entry into force:</w:t>
            </w:r>
            <w:r w:rsidRPr="00C379C8">
              <w:t xml:space="preserve"> </w:t>
            </w:r>
            <w:r w:rsidRPr="00C379C8">
              <w:t>Q2/2026 (20 days after publication, i.e. approximately 5 weeks after adoption)</w:t>
            </w:r>
          </w:p>
        </w:tc>
      </w:tr>
      <w:tr w14:paraId="5E2F64F3" w14:textId="77777777" w:rsidTr="00DB13FE">
        <w:tblPrEx>
          <w:tblW w:w="5000" w:type="pct"/>
          <w:tblLayout w:type="fixed"/>
          <w:tblLook w:val="0000"/>
        </w:tblPrEx>
        <w:tc>
          <w:tcPr>
            <w:tcW w:w="607" w:type="dxa"/>
            <w:tcBorders>
              <w:bottom w:val="double" w:sz="4" w:space="0" w:color="auto"/>
            </w:tcBorders>
          </w:tcPr>
          <w:p w:rsidR="00F85C99" w:rsidRPr="002F6A28" w:rsidP="002F6A28" w14:paraId="0914BA1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B347F8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80CBF66" w14:textId="77777777">
            <w:pPr>
              <w:spacing w:before="120" w:after="120"/>
              <w:rPr>
                <w:bCs/>
              </w:rPr>
            </w:pPr>
            <w:r w:rsidRPr="002F6A28">
              <w:rPr>
                <w:b/>
              </w:rPr>
              <w:t>Final date for comments:</w:t>
            </w:r>
            <w:r w:rsidRPr="00C379C8" w:rsidR="00EE3A11">
              <w:t xml:space="preserve"> 23 April 2026 (45 days from notification)</w:t>
            </w:r>
          </w:p>
          <w:p w:rsidR="000C3B6C" w:rsidRPr="00E3324D" w:rsidP="000C3B6C" w14:paraId="0C177ACF"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7BCF070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652639" w:rsidP="000C3B6C" w14:paraId="504C86DB" w14:textId="77777777">
            <w:pPr>
              <w:rPr>
                <w:lang w:val="fr-CH"/>
              </w:rPr>
            </w:pPr>
            <w:r w:rsidRPr="00652639">
              <w:rPr>
                <w:lang w:val="fr-CH"/>
              </w:rPr>
              <w:t>European Commission,</w:t>
            </w:r>
          </w:p>
          <w:p w:rsidR="00CE6C29" w:rsidRPr="00652639" w:rsidP="000C3B6C" w14:paraId="22DE6324" w14:textId="77777777">
            <w:pPr>
              <w:rPr>
                <w:lang w:val="fr-CH"/>
              </w:rPr>
            </w:pPr>
            <w:r w:rsidRPr="00652639">
              <w:rPr>
                <w:lang w:val="fr-CH"/>
              </w:rPr>
              <w:t>EU-TBT Enquiry Point,</w:t>
            </w:r>
          </w:p>
          <w:p w:rsidR="00CE6C29" w:rsidRPr="00652639" w:rsidP="000C3B6C" w14:paraId="488E1EEA" w14:textId="77777777">
            <w:pPr>
              <w:rPr>
                <w:lang w:val="fr-CH"/>
              </w:rPr>
            </w:pPr>
            <w:r w:rsidRPr="00652639">
              <w:rPr>
                <w:lang w:val="fr-CH"/>
              </w:rPr>
              <w:t>Fax: + (32) 2 299 80 43,</w:t>
            </w:r>
          </w:p>
          <w:p w:rsidR="00CE6C29" w:rsidRPr="00652639" w:rsidP="000C3B6C" w14:paraId="0F44D1C0" w14:textId="77777777">
            <w:pPr>
              <w:spacing w:after="120"/>
              <w:rPr>
                <w:lang w:val="fr-CH"/>
              </w:rPr>
            </w:pPr>
            <w:r w:rsidRPr="00652639">
              <w:rPr>
                <w:lang w:val="fr-CH"/>
              </w:rPr>
              <w:t xml:space="preserve">E-mail: </w:t>
            </w:r>
            <w:hyperlink r:id="rId6" w:history="1">
              <w:r w:rsidRPr="00652639">
                <w:rPr>
                  <w:color w:val="0000FF"/>
                  <w:u w:val="single"/>
                  <w:lang w:val="fr-CH"/>
                </w:rPr>
                <w:t>grow-eu-tbt@ec.europa.eu</w:t>
              </w:r>
            </w:hyperlink>
          </w:p>
        </w:tc>
      </w:tr>
    </w:tbl>
    <w:p w:rsidR="00EE3A11" w:rsidRPr="00652639" w:rsidP="00887259" w14:paraId="5B40B2F0" w14:textId="77777777">
      <w:pPr>
        <w:jc w:val="center"/>
        <w:rPr>
          <w:lang w:val="fr-CH"/>
        </w:rP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0188E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B5361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0BB914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FACE72" w14:textId="77777777">
    <w:pPr>
      <w:pStyle w:val="Header"/>
      <w:pBdr>
        <w:bottom w:val="single" w:sz="4" w:space="1" w:color="auto"/>
      </w:pBdr>
      <w:tabs>
        <w:tab w:val="clear" w:pos="4513"/>
        <w:tab w:val="clear" w:pos="9027"/>
      </w:tabs>
      <w:jc w:val="center"/>
    </w:pPr>
    <w:r w:rsidRPr="002F6A28">
      <w:t>tbtSymbol</w:t>
    </w:r>
  </w:p>
  <w:p w:rsidR="009239F7" w:rsidRPr="002F6A28" w:rsidP="009239F7" w14:paraId="1CCECB79" w14:textId="77777777">
    <w:pPr>
      <w:pStyle w:val="Header"/>
      <w:pBdr>
        <w:bottom w:val="single" w:sz="4" w:space="1" w:color="auto"/>
      </w:pBdr>
      <w:tabs>
        <w:tab w:val="clear" w:pos="4513"/>
        <w:tab w:val="clear" w:pos="9027"/>
      </w:tabs>
      <w:jc w:val="center"/>
    </w:pPr>
  </w:p>
  <w:p w:rsidR="009239F7" w:rsidRPr="002F6A28" w:rsidP="009239F7" w14:paraId="4460B58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D21BED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465364" w14:textId="77777777">
    <w:pPr>
      <w:pStyle w:val="Header"/>
      <w:pBdr>
        <w:bottom w:val="single" w:sz="4" w:space="1" w:color="auto"/>
      </w:pBdr>
      <w:tabs>
        <w:tab w:val="clear" w:pos="4513"/>
        <w:tab w:val="clear" w:pos="9027"/>
      </w:tabs>
      <w:jc w:val="center"/>
    </w:pPr>
    <w:bookmarkStart w:id="0" w:name="spsSymbolHeader"/>
    <w:r w:rsidRPr="002F6A28">
      <w:t>G/TBT/N/EU/1195</w:t>
    </w:r>
    <w:bookmarkEnd w:id="0"/>
  </w:p>
  <w:p w:rsidR="009239F7" w:rsidRPr="002F6A28" w:rsidP="009239F7" w14:paraId="6DF9FF6A" w14:textId="77777777">
    <w:pPr>
      <w:pStyle w:val="Header"/>
      <w:pBdr>
        <w:bottom w:val="single" w:sz="4" w:space="1" w:color="auto"/>
      </w:pBdr>
      <w:tabs>
        <w:tab w:val="clear" w:pos="4513"/>
        <w:tab w:val="clear" w:pos="9027"/>
      </w:tabs>
      <w:jc w:val="center"/>
    </w:pPr>
  </w:p>
  <w:p w:rsidR="009239F7" w:rsidRPr="002F6A28" w:rsidP="009239F7" w14:paraId="2AC8686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55A7B5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A0860A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9B5326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75B70EF" w14:textId="77777777">
          <w:pPr>
            <w:jc w:val="right"/>
            <w:rPr>
              <w:b/>
              <w:color w:val="FF0000"/>
              <w:szCs w:val="16"/>
            </w:rPr>
          </w:pPr>
        </w:p>
      </w:tc>
    </w:tr>
    <w:bookmarkEnd w:id="1"/>
    <w:tr w14:paraId="2922E12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E70F31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E2A559B" w14:textId="77777777">
          <w:pPr>
            <w:jc w:val="right"/>
            <w:rPr>
              <w:b/>
              <w:szCs w:val="16"/>
            </w:rPr>
          </w:pPr>
        </w:p>
      </w:tc>
    </w:tr>
    <w:tr w14:paraId="591C0F3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A24070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32DA4E8" w14:textId="77777777">
          <w:pPr>
            <w:jc w:val="right"/>
            <w:rPr>
              <w:b/>
              <w:szCs w:val="16"/>
            </w:rPr>
          </w:pPr>
          <w:bookmarkStart w:id="2" w:name="bmkSymbols"/>
          <w:r w:rsidRPr="002F6A28">
            <w:rPr>
              <w:b/>
              <w:szCs w:val="16"/>
            </w:rPr>
            <w:t>G/TBT/N/EU/1195</w:t>
          </w:r>
          <w:bookmarkEnd w:id="2"/>
        </w:p>
      </w:tc>
    </w:tr>
    <w:tr w14:paraId="5D856FB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4801D34" w14:textId="77777777"/>
      </w:tc>
      <w:tc>
        <w:tcPr>
          <w:tcW w:w="5448" w:type="dxa"/>
          <w:gridSpan w:val="2"/>
          <w:shd w:val="clear" w:color="auto" w:fill="FFFFFF"/>
          <w:tcMar>
            <w:left w:w="108" w:type="dxa"/>
            <w:right w:w="108" w:type="dxa"/>
          </w:tcMar>
          <w:vAlign w:val="center"/>
        </w:tcPr>
        <w:p w:rsidR="00ED54E0" w:rsidRPr="009239F7" w:rsidP="00B801E9" w14:paraId="61ED092A" w14:textId="77777777">
          <w:pPr>
            <w:jc w:val="right"/>
            <w:rPr>
              <w:szCs w:val="16"/>
            </w:rPr>
          </w:pPr>
          <w:bookmarkStart w:id="3" w:name="spsDateDistribution"/>
          <w:bookmarkStart w:id="4" w:name="bmkDate"/>
          <w:r w:rsidRPr="009239F7">
            <w:rPr>
              <w:szCs w:val="16"/>
            </w:rPr>
            <w:t>9 March 2026</w:t>
          </w:r>
          <w:bookmarkEnd w:id="3"/>
          <w:bookmarkEnd w:id="4"/>
        </w:p>
      </w:tc>
    </w:tr>
    <w:tr w14:paraId="7AA2554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31BA90D" w14:textId="77777777">
          <w:pPr>
            <w:jc w:val="left"/>
            <w:rPr>
              <w:b/>
            </w:rPr>
          </w:pPr>
          <w:bookmarkStart w:id="5" w:name="bmkSerial"/>
          <w:r>
            <w:rPr>
              <w:rFonts w:ascii="Verdana" w:eastAsia="Verdana" w:hAnsi="Verdana" w:cs="Verdana"/>
              <w:b w:val="0"/>
              <w:color w:val="FF0000"/>
              <w:sz w:val="18"/>
            </w:rPr>
            <w:t>(26-1841)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731554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E25C00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0AF14C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7BD244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944157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77777938">
    <w:abstractNumId w:val="9"/>
  </w:num>
  <w:num w:numId="2" w16cid:durableId="500967066">
    <w:abstractNumId w:val="7"/>
  </w:num>
  <w:num w:numId="3" w16cid:durableId="165707358">
    <w:abstractNumId w:val="6"/>
  </w:num>
  <w:num w:numId="4" w16cid:durableId="1811285669">
    <w:abstractNumId w:val="5"/>
  </w:num>
  <w:num w:numId="5" w16cid:durableId="47460589">
    <w:abstractNumId w:val="4"/>
  </w:num>
  <w:num w:numId="6" w16cid:durableId="1731921393">
    <w:abstractNumId w:val="12"/>
  </w:num>
  <w:num w:numId="7" w16cid:durableId="1565335869">
    <w:abstractNumId w:val="11"/>
  </w:num>
  <w:num w:numId="8" w16cid:durableId="1119033279">
    <w:abstractNumId w:val="10"/>
  </w:num>
  <w:num w:numId="9" w16cid:durableId="3792879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1803467">
    <w:abstractNumId w:val="13"/>
  </w:num>
  <w:num w:numId="11" w16cid:durableId="1550996401">
    <w:abstractNumId w:val="8"/>
  </w:num>
  <w:num w:numId="12" w16cid:durableId="1292397574">
    <w:abstractNumId w:val="3"/>
  </w:num>
  <w:num w:numId="13" w16cid:durableId="379943335">
    <w:abstractNumId w:val="2"/>
  </w:num>
  <w:num w:numId="14" w16cid:durableId="2035494707">
    <w:abstractNumId w:val="1"/>
  </w:num>
  <w:num w:numId="15" w16cid:durableId="1938294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551E7"/>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9110F"/>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2639"/>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B796D"/>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19DB"/>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A7E3C"/>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2C58"/>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DC0B0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TBT/EEC/26_01339_01_e.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ec.europa.eu/transparency/comitology-register/screen/documents/113092/1" TargetMode="External" /><Relationship Id="rId9" Type="http://schemas.openxmlformats.org/officeDocument/2006/relationships/hyperlink" Target="https://members.wto.org/crnattachments/2026/TBT/EEC/26_01339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4E60C-B2B0-41AF-87AD-A6EAE8DFCE98}">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756</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2026-03-09T11:29:00Z</dcterms:created>
  <dcterms:modified xsi:type="dcterms:W3CDTF">2026-03-09T11:47:00Z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