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6F103B" w14:textId="77777777">
      <w:pPr>
        <w:pStyle w:val="Title"/>
        <w:rPr>
          <w:caps w:val="0"/>
          <w:kern w:val="0"/>
        </w:rPr>
      </w:pPr>
      <w:r w:rsidRPr="002F6A28">
        <w:rPr>
          <w:caps w:val="0"/>
          <w:kern w:val="0"/>
        </w:rPr>
        <w:t>NOTIFICATION</w:t>
      </w:r>
    </w:p>
    <w:p w:rsidR="009239F7" w:rsidRPr="002F6A28" w:rsidP="002F6A28" w14:paraId="4DCEA217" w14:textId="77777777">
      <w:pPr>
        <w:jc w:val="center"/>
      </w:pPr>
      <w:r w:rsidRPr="002F6A28">
        <w:t>The following notification is being circulated in accordance with Article 10.6</w:t>
      </w:r>
    </w:p>
    <w:p w:rsidR="009239F7" w:rsidRPr="002F6A28" w:rsidP="002F6A28" w14:paraId="0B2D337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0383D5" w14:textId="77777777" w:rsidTr="00DB13FE">
        <w:tblPrEx>
          <w:tblW w:w="5000" w:type="pct"/>
          <w:tblLayout w:type="fixed"/>
          <w:tblLook w:val="0000"/>
        </w:tblPrEx>
        <w:tc>
          <w:tcPr>
            <w:tcW w:w="607" w:type="dxa"/>
            <w:tcBorders>
              <w:top w:val="double" w:sz="4" w:space="0" w:color="auto"/>
            </w:tcBorders>
          </w:tcPr>
          <w:p w:rsidR="00F85C99" w:rsidRPr="002F6A28" w:rsidP="002F6A28" w14:paraId="601BE6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77AAC8"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EDF7E7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46DC16" w14:textId="77777777" w:rsidTr="00DB13FE">
        <w:tblPrEx>
          <w:tblW w:w="5000" w:type="pct"/>
          <w:tblLayout w:type="fixed"/>
          <w:tblLook w:val="0000"/>
        </w:tblPrEx>
        <w:tc>
          <w:tcPr>
            <w:tcW w:w="607" w:type="dxa"/>
          </w:tcPr>
          <w:p w:rsidR="00F85C99" w:rsidRPr="002F6A28" w:rsidP="002F6A28" w14:paraId="14E54BBD" w14:textId="77777777">
            <w:pPr>
              <w:spacing w:before="120" w:after="120"/>
              <w:jc w:val="left"/>
            </w:pPr>
            <w:r w:rsidRPr="002F6A28">
              <w:rPr>
                <w:b/>
              </w:rPr>
              <w:t>2.</w:t>
            </w:r>
          </w:p>
        </w:tc>
        <w:tc>
          <w:tcPr>
            <w:tcW w:w="8373" w:type="dxa"/>
          </w:tcPr>
          <w:p w:rsidR="00F85C99" w:rsidRPr="002F6A28" w:rsidP="000C3B6C" w14:paraId="3B973E78" w14:textId="77777777">
            <w:pPr>
              <w:spacing w:before="120" w:after="120"/>
            </w:pPr>
            <w:r w:rsidRPr="002F6A28">
              <w:rPr>
                <w:b/>
              </w:rPr>
              <w:t>Agency responsible:</w:t>
            </w:r>
            <w:r w:rsidRPr="00C379C8" w:rsidR="00EE3A11">
              <w:t xml:space="preserve"> </w:t>
            </w:r>
          </w:p>
          <w:p w:rsidR="00EE3A11" w:rsidRPr="00C379C8" w:rsidP="000C3B6C" w14:paraId="34444CE6" w14:textId="77777777">
            <w:pPr>
              <w:spacing w:after="120"/>
            </w:pPr>
            <w:r w:rsidRPr="00C379C8">
              <w:t>Nuclear Regulatory Commission (NRC) [2297]</w:t>
            </w:r>
          </w:p>
        </w:tc>
      </w:tr>
      <w:tr w14:paraId="546967BC" w14:textId="77777777" w:rsidTr="00DB13FE">
        <w:tblPrEx>
          <w:tblW w:w="5000" w:type="pct"/>
          <w:tblLayout w:type="fixed"/>
          <w:tblLook w:val="0000"/>
        </w:tblPrEx>
        <w:tc>
          <w:tcPr>
            <w:tcW w:w="607" w:type="dxa"/>
          </w:tcPr>
          <w:p w:rsidR="00F85C99" w:rsidRPr="002F6A28" w:rsidP="002F6A28" w14:paraId="28760B3D" w14:textId="77777777">
            <w:pPr>
              <w:spacing w:before="120" w:after="120"/>
              <w:jc w:val="left"/>
              <w:rPr>
                <w:b/>
              </w:rPr>
            </w:pPr>
            <w:r w:rsidRPr="002F6A28">
              <w:rPr>
                <w:b/>
              </w:rPr>
              <w:t>3.</w:t>
            </w:r>
          </w:p>
        </w:tc>
        <w:tc>
          <w:tcPr>
            <w:tcW w:w="8373" w:type="dxa"/>
          </w:tcPr>
          <w:p w:rsidR="00F85C99" w:rsidRPr="0058336F" w:rsidP="002F6A28" w14:paraId="5399F56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861E36E" w14:textId="77777777" w:rsidTr="00DB13FE">
        <w:tblPrEx>
          <w:tblW w:w="5000" w:type="pct"/>
          <w:tblLayout w:type="fixed"/>
          <w:tblLook w:val="0000"/>
        </w:tblPrEx>
        <w:tc>
          <w:tcPr>
            <w:tcW w:w="607" w:type="dxa"/>
          </w:tcPr>
          <w:p w:rsidR="00F85C99" w:rsidRPr="002F6A28" w:rsidP="002F6A28" w14:paraId="6ABD6AEA" w14:textId="77777777">
            <w:pPr>
              <w:spacing w:before="120" w:after="120"/>
              <w:jc w:val="left"/>
            </w:pPr>
            <w:r w:rsidRPr="002F6A28">
              <w:rPr>
                <w:b/>
              </w:rPr>
              <w:t>4.</w:t>
            </w:r>
          </w:p>
        </w:tc>
        <w:tc>
          <w:tcPr>
            <w:tcW w:w="8373" w:type="dxa"/>
          </w:tcPr>
          <w:p w:rsidR="00F85C99" w:rsidRPr="002F6A28" w:rsidP="002F6A28" w14:paraId="7FBB881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Nuclear power plant engineering; Quality (ICS code(s): 03.120); Nuclear energy engineering (ICS code(s): 27.120)</w:t>
            </w:r>
          </w:p>
        </w:tc>
      </w:tr>
      <w:tr w14:paraId="7510E065" w14:textId="77777777" w:rsidTr="00DB13FE">
        <w:tblPrEx>
          <w:tblW w:w="5000" w:type="pct"/>
          <w:tblLayout w:type="fixed"/>
          <w:tblLook w:val="0000"/>
        </w:tblPrEx>
        <w:tc>
          <w:tcPr>
            <w:tcW w:w="607" w:type="dxa"/>
          </w:tcPr>
          <w:p w:rsidR="00F85C99" w:rsidRPr="002F6A28" w:rsidP="002F6A28" w14:paraId="3E5EC89B" w14:textId="77777777">
            <w:pPr>
              <w:spacing w:before="120" w:after="120"/>
              <w:jc w:val="left"/>
            </w:pPr>
            <w:r w:rsidRPr="002F6A28">
              <w:rPr>
                <w:b/>
              </w:rPr>
              <w:t>5.</w:t>
            </w:r>
          </w:p>
        </w:tc>
        <w:tc>
          <w:tcPr>
            <w:tcW w:w="8373" w:type="dxa"/>
          </w:tcPr>
          <w:p w:rsidR="00F85C99" w:rsidP="002F6A28" w14:paraId="5542AD6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Approval of the 2023 Edition of the American Society of Mechanical Engineers Boiler and Pressure Vessel Code and Code Cases, Revision 41; (28 page(s), in English)</w:t>
            </w:r>
          </w:p>
          <w:p w:rsidR="000C3B6C" w:rsidRPr="000C3B6C" w:rsidP="002F6A28" w14:paraId="7A0288F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03E24" w:rsidRPr="00CE6C29" w:rsidP="002F6A28" w14:paraId="4E4CD840"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https://members.wto.org/crnattachments/2026/TBT/USA/26_01188_00_e.pdf</w:t>
              </w:r>
            </w:hyperlink>
          </w:p>
        </w:tc>
      </w:tr>
      <w:tr w14:paraId="09022946" w14:textId="77777777" w:rsidTr="00DB13FE">
        <w:tblPrEx>
          <w:tblW w:w="5000" w:type="pct"/>
          <w:tblLayout w:type="fixed"/>
          <w:tblLook w:val="0000"/>
        </w:tblPrEx>
        <w:tc>
          <w:tcPr>
            <w:tcW w:w="607" w:type="dxa"/>
          </w:tcPr>
          <w:p w:rsidR="00F85C99" w:rsidRPr="002F6A28" w:rsidP="002F6A28" w14:paraId="237D7808" w14:textId="77777777">
            <w:pPr>
              <w:spacing w:before="120" w:after="120"/>
              <w:jc w:val="left"/>
              <w:rPr>
                <w:b/>
              </w:rPr>
            </w:pPr>
            <w:r w:rsidRPr="002F6A28">
              <w:rPr>
                <w:b/>
              </w:rPr>
              <w:t>6.</w:t>
            </w:r>
          </w:p>
        </w:tc>
        <w:tc>
          <w:tcPr>
            <w:tcW w:w="8373" w:type="dxa"/>
          </w:tcPr>
          <w:p w:rsidR="00F85C99" w:rsidRPr="002F6A28" w:rsidP="002F6A28" w14:paraId="1F728FC5" w14:textId="77777777">
            <w:pPr>
              <w:spacing w:before="120" w:after="120"/>
              <w:rPr>
                <w:b/>
              </w:rPr>
            </w:pPr>
            <w:r w:rsidRPr="002F6A28">
              <w:rPr>
                <w:b/>
              </w:rPr>
              <w:t>Description of content:</w:t>
            </w:r>
            <w:r w:rsidRPr="00C379C8" w:rsidR="00FE448B">
              <w:t xml:space="preserve"> Proposed rule - The U.S. Nuclear Regulatory Commission (NRC) is proposing to amend its regulations to incorporate by reference the 2023 Edition of the American Society of Mechanical Engineers (ASME) Boiler and Pressure Vessel Code. This action is in accordance with the NRC's policy to periodically update the regulations to incorporate by reference new editions of the ASME Codes and is intended to maintain the safety of nuclear power plants and to make NRC activities more effective and efficient. The NRC also is proposing to amend its regulations to incorporate by reference proposed revisions of three regulatory guides, which would approve new, revised, and reaffirmed code cases published by the ASME. This proposed action would allow nuclear power plant licensees and applicants to use the code cases listed in these draft regulatory guides as voluntary alternatives to engineering standards for the construction, inservice inspection, and inservice testing of nuclear power plant components. This proposed rule also incorporates minor editorial corrections. The NRC is requesting comments on this proposed rule, on the draft versions of three regulatory guides, and the draft version of an additional regulatory guide which will not be incorporated by reference.</w:t>
            </w:r>
          </w:p>
        </w:tc>
      </w:tr>
      <w:tr w14:paraId="0CAA1851" w14:textId="77777777" w:rsidTr="00DB13FE">
        <w:tblPrEx>
          <w:tblW w:w="5000" w:type="pct"/>
          <w:tblLayout w:type="fixed"/>
          <w:tblLook w:val="0000"/>
        </w:tblPrEx>
        <w:tc>
          <w:tcPr>
            <w:tcW w:w="607" w:type="dxa"/>
          </w:tcPr>
          <w:p w:rsidR="00F85C99" w:rsidRPr="002F6A28" w:rsidP="002F6A28" w14:paraId="32F61874" w14:textId="77777777">
            <w:pPr>
              <w:spacing w:before="120" w:after="120"/>
              <w:jc w:val="left"/>
              <w:rPr>
                <w:b/>
              </w:rPr>
            </w:pPr>
            <w:r w:rsidRPr="002F6A28">
              <w:rPr>
                <w:b/>
              </w:rPr>
              <w:t>7.</w:t>
            </w:r>
          </w:p>
        </w:tc>
        <w:tc>
          <w:tcPr>
            <w:tcW w:w="8373" w:type="dxa"/>
          </w:tcPr>
          <w:p w:rsidR="00F85C99" w:rsidRPr="002F6A28" w:rsidP="002F6A28" w14:paraId="2614F28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Cost saving and productivity enhancement</w:t>
            </w:r>
          </w:p>
        </w:tc>
      </w:tr>
      <w:tr w14:paraId="53204BAB" w14:textId="77777777" w:rsidTr="00DB13FE">
        <w:tblPrEx>
          <w:tblW w:w="5000" w:type="pct"/>
          <w:tblLayout w:type="fixed"/>
          <w:tblLook w:val="0000"/>
        </w:tblPrEx>
        <w:tc>
          <w:tcPr>
            <w:tcW w:w="607" w:type="dxa"/>
          </w:tcPr>
          <w:p w:rsidR="00F85C99" w:rsidRPr="002F6A28" w:rsidP="009E75ED" w14:paraId="74739006" w14:textId="77777777">
            <w:pPr>
              <w:spacing w:before="120" w:after="120"/>
              <w:jc w:val="left"/>
              <w:rPr>
                <w:b/>
              </w:rPr>
            </w:pPr>
            <w:r w:rsidRPr="002F6A28">
              <w:rPr>
                <w:b/>
              </w:rPr>
              <w:t>8.</w:t>
            </w:r>
          </w:p>
        </w:tc>
        <w:tc>
          <w:tcPr>
            <w:tcW w:w="8373" w:type="dxa"/>
          </w:tcPr>
          <w:p w:rsidR="000C3B6C" w:rsidRPr="00EC00D2" w:rsidP="007F13E8" w14:paraId="106923A7" w14:textId="77777777">
            <w:pPr>
              <w:spacing w:before="120" w:after="120"/>
              <w:rPr>
                <w:bCs/>
              </w:rPr>
            </w:pPr>
            <w:r w:rsidRPr="002F6A28">
              <w:rPr>
                <w:b/>
              </w:rPr>
              <w:t>Relevant documents:</w:t>
            </w:r>
            <w:r w:rsidRPr="002F6A28" w:rsidR="00EE3A11">
              <w:t xml:space="preserve"> </w:t>
            </w:r>
          </w:p>
          <w:p w:rsidR="00EE3A11" w:rsidRPr="002F6A28" w:rsidP="007F13E8" w14:paraId="2C897FAE" w14:textId="77777777">
            <w:pPr>
              <w:spacing w:before="120" w:after="120"/>
            </w:pPr>
            <w:r w:rsidRPr="002F6A28">
              <w:t xml:space="preserve">91 Federal Register (FR) 9733, 27 February 2026; </w:t>
            </w:r>
            <w:hyperlink r:id="rId7" w:history="1">
              <w:r w:rsidRPr="002F6A28">
                <w:rPr>
                  <w:color w:val="0000FF"/>
                  <w:u w:val="single"/>
                </w:rPr>
                <w:t>Title 10 Code of Federal Regulations (CFR) Part 50</w:t>
              </w:r>
            </w:hyperlink>
            <w:r w:rsidRPr="002F6A28">
              <w:t>:</w:t>
            </w:r>
          </w:p>
          <w:p w:rsidR="00EE3A11" w:rsidRPr="002F6A28" w:rsidP="007F13E8" w14:paraId="31F41106" w14:textId="77777777">
            <w:pPr>
              <w:spacing w:before="120" w:after="120"/>
            </w:pPr>
            <w:hyperlink r:id="rId8" w:history="1">
              <w:r w:rsidRPr="002F6A28">
                <w:rPr>
                  <w:color w:val="0000FF"/>
                  <w:u w:val="single"/>
                </w:rPr>
                <w:t>https://www.govinfo.gov/content/pkg/FR-2026-02-27/html/2026-03993.htm</w:t>
              </w:r>
            </w:hyperlink>
          </w:p>
          <w:p w:rsidR="00EE3A11" w:rsidRPr="002F6A28" w:rsidP="007F13E8" w14:paraId="7B3DF2B6" w14:textId="77777777">
            <w:pPr>
              <w:spacing w:before="120" w:after="120"/>
            </w:pPr>
            <w:hyperlink r:id="rId9" w:history="1">
              <w:r w:rsidRPr="002F6A28">
                <w:rPr>
                  <w:color w:val="0000FF"/>
                  <w:u w:val="single"/>
                </w:rPr>
                <w:t>https://www.govinfo.gov/content/pkg/FR-2026-02-27/pdf/2026-03993.pdf</w:t>
              </w:r>
            </w:hyperlink>
          </w:p>
          <w:p w:rsidR="00EE3A11" w:rsidRPr="002F6A28" w:rsidP="007F13E8" w14:paraId="129520AA" w14:textId="77777777">
            <w:pPr>
              <w:spacing w:before="120" w:after="120"/>
            </w:pPr>
            <w:r w:rsidRPr="002F6A28">
              <w:t xml:space="preserve">This proposed rule is identified by Docket Number NRC-2020-0029. The Docket Folder is available on Regulations.gov at </w:t>
            </w:r>
            <w:hyperlink r:id="rId10" w:history="1">
              <w:r w:rsidRPr="002F6A28">
                <w:rPr>
                  <w:color w:val="0000FF"/>
                  <w:u w:val="single"/>
                </w:rPr>
                <w:t>https://www.regulations.gov/docket/NRC-2020-0029/document</w:t>
              </w:r>
            </w:hyperlink>
            <w:r w:rsidRPr="002F6A28">
              <w:t xml:space="preserve"> and provides access to primary and supporting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p w:rsidR="00EE3A11" w:rsidRPr="002F6A28" w:rsidP="007F13E8" w14:paraId="7E12C6A3" w14:textId="77777777">
            <w:pPr>
              <w:spacing w:before="120" w:after="120"/>
            </w:pPr>
            <w:hyperlink r:id="rId12" w:history="1">
              <w:r w:rsidRPr="002F6A28">
                <w:rPr>
                  <w:color w:val="0000FF"/>
                  <w:u w:val="single"/>
                </w:rPr>
                <w:t>Draft Regulatory Guide (DG) DG-1446</w:t>
              </w:r>
            </w:hyperlink>
            <w:r w:rsidRPr="002F6A28" w:rsidR="00732B52">
              <w:t xml:space="preserve"> - RG 1.84, "Design, Fabrication, and Materials Code Case Acceptability, ASME Section III,'' Revision 41</w:t>
            </w:r>
          </w:p>
          <w:p w:rsidR="00EE3A11" w:rsidRPr="002F6A28" w:rsidP="007F13E8" w14:paraId="315B53DA" w14:textId="77777777">
            <w:pPr>
              <w:spacing w:before="120" w:after="120"/>
            </w:pPr>
            <w:hyperlink r:id="rId13" w:history="1">
              <w:r w:rsidRPr="002F6A28">
                <w:rPr>
                  <w:color w:val="0000FF"/>
                  <w:u w:val="single"/>
                </w:rPr>
                <w:t>Draft Regulatory Guide (DG) DG-1447</w:t>
              </w:r>
            </w:hyperlink>
            <w:r w:rsidRPr="002F6A28" w:rsidR="00732B52">
              <w:t xml:space="preserve"> - RG 1.147, "Inservice Inspection Code Case Acceptability, ASME Section XI, Division 1,'' Revision 22</w:t>
            </w:r>
          </w:p>
          <w:p w:rsidR="00EE3A11" w:rsidRPr="002F6A28" w:rsidP="007F13E8" w14:paraId="17AC96C2" w14:textId="77777777">
            <w:pPr>
              <w:spacing w:before="120" w:after="120"/>
            </w:pPr>
            <w:hyperlink r:id="rId14" w:history="1">
              <w:r w:rsidRPr="002F6A28">
                <w:rPr>
                  <w:color w:val="0000FF"/>
                  <w:u w:val="single"/>
                </w:rPr>
                <w:t>Draft Regulatory Guide (DG) DG-1448</w:t>
              </w:r>
            </w:hyperlink>
            <w:r w:rsidRPr="002F6A28" w:rsidR="00732B52">
              <w:t xml:space="preserve"> - RG 1.192, "Operation and Maintenance [OM] Code Case Acceptability, ASME OM Code,'' Revision 6</w:t>
            </w:r>
          </w:p>
        </w:tc>
      </w:tr>
      <w:tr w14:paraId="7C399BE7" w14:textId="77777777" w:rsidTr="00DB13FE">
        <w:tblPrEx>
          <w:tblW w:w="5000" w:type="pct"/>
          <w:tblLayout w:type="fixed"/>
          <w:tblLook w:val="0000"/>
        </w:tblPrEx>
        <w:tc>
          <w:tcPr>
            <w:tcW w:w="607" w:type="dxa"/>
          </w:tcPr>
          <w:p w:rsidR="00EE3A11" w:rsidRPr="002F6A28" w:rsidP="002F6A28" w14:paraId="1903CBFF" w14:textId="77777777">
            <w:pPr>
              <w:spacing w:before="120" w:after="120"/>
              <w:jc w:val="left"/>
              <w:rPr>
                <w:b/>
              </w:rPr>
            </w:pPr>
            <w:r w:rsidRPr="002F6A28">
              <w:rPr>
                <w:b/>
              </w:rPr>
              <w:t>9.</w:t>
            </w:r>
          </w:p>
        </w:tc>
        <w:tc>
          <w:tcPr>
            <w:tcW w:w="8373" w:type="dxa"/>
          </w:tcPr>
          <w:p w:rsidR="00EE3A11" w:rsidRPr="002F6A28" w:rsidP="008953C4" w14:paraId="41B5A631" w14:textId="77777777">
            <w:pPr>
              <w:spacing w:before="120" w:after="120"/>
            </w:pPr>
            <w:r w:rsidRPr="002F6A28">
              <w:rPr>
                <w:b/>
              </w:rPr>
              <w:t>Proposed date of adoption:</w:t>
            </w:r>
            <w:r w:rsidRPr="00C379C8">
              <w:t xml:space="preserve"> To be determined</w:t>
            </w:r>
          </w:p>
          <w:p w:rsidR="00EE3A11" w:rsidRPr="002F6A28" w:rsidP="008953C4" w14:paraId="70B57440" w14:textId="77777777">
            <w:pPr>
              <w:spacing w:after="120"/>
            </w:pPr>
            <w:r w:rsidRPr="002F6A28">
              <w:rPr>
                <w:b/>
              </w:rPr>
              <w:t>Proposed date of entry into force:</w:t>
            </w:r>
            <w:r w:rsidRPr="00C379C8">
              <w:t xml:space="preserve"> To be determined</w:t>
            </w:r>
          </w:p>
        </w:tc>
      </w:tr>
      <w:tr w14:paraId="7C45B97D" w14:textId="77777777" w:rsidTr="00DB13FE">
        <w:tblPrEx>
          <w:tblW w:w="5000" w:type="pct"/>
          <w:tblLayout w:type="fixed"/>
          <w:tblLook w:val="0000"/>
        </w:tblPrEx>
        <w:tc>
          <w:tcPr>
            <w:tcW w:w="607" w:type="dxa"/>
            <w:tcBorders>
              <w:bottom w:val="double" w:sz="4" w:space="0" w:color="auto"/>
            </w:tcBorders>
          </w:tcPr>
          <w:p w:rsidR="00F85C99" w:rsidRPr="002F6A28" w:rsidP="002F6A28" w14:paraId="491EF96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52FAC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E6C5327" w14:textId="77777777">
            <w:pPr>
              <w:spacing w:before="120" w:after="120"/>
              <w:rPr>
                <w:bCs/>
              </w:rPr>
            </w:pPr>
            <w:r w:rsidRPr="002F6A28">
              <w:rPr>
                <w:b/>
              </w:rPr>
              <w:t>Final date for comments:</w:t>
            </w:r>
            <w:r w:rsidRPr="00C379C8" w:rsidR="00EE3A11">
              <w:t xml:space="preserve"> 28 April 2026</w:t>
            </w:r>
          </w:p>
          <w:p w:rsidR="000C3B6C" w:rsidRPr="00E3324D" w:rsidP="000C3B6C" w14:paraId="5CBEE05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1B1A6BA"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28 April 2026. Comments received by the USA TBT Enquiry Point from WTO Members and their stakeholders will be shared with the NRC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3755F2B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74DBC82"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19E9F0C4"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EA7B9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C2C1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92E47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34ECAF" w14:textId="77777777">
    <w:pPr>
      <w:pStyle w:val="Header"/>
      <w:pBdr>
        <w:bottom w:val="single" w:sz="4" w:space="1" w:color="auto"/>
      </w:pBdr>
      <w:tabs>
        <w:tab w:val="clear" w:pos="4513"/>
        <w:tab w:val="clear" w:pos="9027"/>
      </w:tabs>
      <w:jc w:val="center"/>
    </w:pPr>
    <w:r w:rsidRPr="002F6A28">
      <w:t>tbtSymbol</w:t>
    </w:r>
  </w:p>
  <w:p w:rsidR="009239F7" w:rsidRPr="002F6A28" w:rsidP="009239F7" w14:paraId="6168C73F" w14:textId="77777777">
    <w:pPr>
      <w:pStyle w:val="Header"/>
      <w:pBdr>
        <w:bottom w:val="single" w:sz="4" w:space="1" w:color="auto"/>
      </w:pBdr>
      <w:tabs>
        <w:tab w:val="clear" w:pos="4513"/>
        <w:tab w:val="clear" w:pos="9027"/>
      </w:tabs>
      <w:jc w:val="center"/>
    </w:pPr>
  </w:p>
  <w:p w:rsidR="009239F7" w:rsidRPr="002F6A28" w:rsidP="009239F7" w14:paraId="0BB095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05B93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1D9705" w14:textId="77777777">
    <w:pPr>
      <w:pStyle w:val="Header"/>
      <w:pBdr>
        <w:bottom w:val="single" w:sz="4" w:space="1" w:color="auto"/>
      </w:pBdr>
      <w:tabs>
        <w:tab w:val="clear" w:pos="4513"/>
        <w:tab w:val="clear" w:pos="9027"/>
      </w:tabs>
      <w:jc w:val="center"/>
    </w:pPr>
    <w:bookmarkStart w:id="0" w:name="spsSymbolHeader"/>
    <w:r w:rsidRPr="002F6A28">
      <w:t>G/TBT/N/USA/2263</w:t>
    </w:r>
    <w:bookmarkEnd w:id="0"/>
  </w:p>
  <w:p w:rsidR="009239F7" w:rsidRPr="002F6A28" w:rsidP="009239F7" w14:paraId="14375557" w14:textId="77777777">
    <w:pPr>
      <w:pStyle w:val="Header"/>
      <w:pBdr>
        <w:bottom w:val="single" w:sz="4" w:space="1" w:color="auto"/>
      </w:pBdr>
      <w:tabs>
        <w:tab w:val="clear" w:pos="4513"/>
        <w:tab w:val="clear" w:pos="9027"/>
      </w:tabs>
      <w:jc w:val="center"/>
    </w:pPr>
  </w:p>
  <w:p w:rsidR="009239F7" w:rsidRPr="002F6A28" w:rsidP="009239F7" w14:paraId="29D198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8DE467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06472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11AA9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CA2BFC" w14:textId="77777777">
          <w:pPr>
            <w:jc w:val="right"/>
            <w:rPr>
              <w:b/>
              <w:color w:val="FF0000"/>
              <w:szCs w:val="16"/>
            </w:rPr>
          </w:pPr>
        </w:p>
      </w:tc>
    </w:tr>
    <w:bookmarkEnd w:id="1"/>
    <w:tr w14:paraId="32FFDEC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E561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C79DDD" w14:textId="77777777">
          <w:pPr>
            <w:jc w:val="right"/>
            <w:rPr>
              <w:b/>
              <w:szCs w:val="16"/>
            </w:rPr>
          </w:pPr>
        </w:p>
      </w:tc>
    </w:tr>
    <w:tr w14:paraId="5CE6C45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13758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909D14" w14:textId="77777777">
          <w:pPr>
            <w:jc w:val="right"/>
            <w:rPr>
              <w:b/>
              <w:szCs w:val="16"/>
            </w:rPr>
          </w:pPr>
          <w:bookmarkStart w:id="2" w:name="bmkSymbols"/>
          <w:r w:rsidRPr="002F6A28">
            <w:rPr>
              <w:b/>
              <w:szCs w:val="16"/>
            </w:rPr>
            <w:t>G/TBT/N/USA/2263</w:t>
          </w:r>
          <w:bookmarkEnd w:id="2"/>
        </w:p>
      </w:tc>
    </w:tr>
    <w:tr w14:paraId="0A3D5D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07CAD3" w14:textId="77777777"/>
      </w:tc>
      <w:tc>
        <w:tcPr>
          <w:tcW w:w="5448" w:type="dxa"/>
          <w:gridSpan w:val="2"/>
          <w:shd w:val="clear" w:color="auto" w:fill="FFFFFF"/>
          <w:tcMar>
            <w:left w:w="108" w:type="dxa"/>
            <w:right w:w="108" w:type="dxa"/>
          </w:tcMar>
          <w:vAlign w:val="center"/>
        </w:tcPr>
        <w:p w:rsidR="00ED54E0" w:rsidRPr="009239F7" w:rsidP="00B801E9" w14:paraId="71FCCC7A" w14:textId="77777777">
          <w:pPr>
            <w:jc w:val="right"/>
            <w:rPr>
              <w:szCs w:val="16"/>
            </w:rPr>
          </w:pPr>
          <w:bookmarkStart w:id="3" w:name="spsDateDistribution"/>
          <w:bookmarkStart w:id="4" w:name="bmkDate"/>
          <w:r w:rsidRPr="009239F7">
            <w:rPr>
              <w:szCs w:val="16"/>
            </w:rPr>
            <w:t>2 March 2026</w:t>
          </w:r>
          <w:bookmarkEnd w:id="3"/>
          <w:bookmarkEnd w:id="4"/>
        </w:p>
      </w:tc>
    </w:tr>
    <w:tr w14:paraId="6134799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3DC652" w14:textId="77777777">
          <w:pPr>
            <w:jc w:val="left"/>
            <w:rPr>
              <w:b/>
            </w:rPr>
          </w:pPr>
          <w:bookmarkStart w:id="5" w:name="bmkSerial"/>
          <w:r>
            <w:rPr>
              <w:rFonts w:ascii="Verdana" w:eastAsia="Verdana" w:hAnsi="Verdana" w:cs="Verdana"/>
              <w:b w:val="0"/>
              <w:color w:val="FF0000"/>
              <w:sz w:val="18"/>
            </w:rPr>
            <w:t>(26-1545)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EE3A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2A68E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29F41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860CD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B310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7141450">
    <w:abstractNumId w:val="9"/>
  </w:num>
  <w:num w:numId="2" w16cid:durableId="571506077">
    <w:abstractNumId w:val="7"/>
  </w:num>
  <w:num w:numId="3" w16cid:durableId="1640649125">
    <w:abstractNumId w:val="6"/>
  </w:num>
  <w:num w:numId="4" w16cid:durableId="509107881">
    <w:abstractNumId w:val="5"/>
  </w:num>
  <w:num w:numId="5" w16cid:durableId="144133200">
    <w:abstractNumId w:val="4"/>
  </w:num>
  <w:num w:numId="6" w16cid:durableId="1127967898">
    <w:abstractNumId w:val="12"/>
  </w:num>
  <w:num w:numId="7" w16cid:durableId="1061442073">
    <w:abstractNumId w:val="11"/>
  </w:num>
  <w:num w:numId="8" w16cid:durableId="740099205">
    <w:abstractNumId w:val="10"/>
  </w:num>
  <w:num w:numId="9" w16cid:durableId="1352185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3847637">
    <w:abstractNumId w:val="13"/>
  </w:num>
  <w:num w:numId="11" w16cid:durableId="1820920524">
    <w:abstractNumId w:val="8"/>
  </w:num>
  <w:num w:numId="12" w16cid:durableId="1679187763">
    <w:abstractNumId w:val="3"/>
  </w:num>
  <w:num w:numId="13" w16cid:durableId="2010983868">
    <w:abstractNumId w:val="2"/>
  </w:num>
  <w:num w:numId="14" w16cid:durableId="122961949">
    <w:abstractNumId w:val="1"/>
  </w:num>
  <w:num w:numId="15" w16cid:durableId="399906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6CE0"/>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2B52"/>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3E24"/>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B09C2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NRC-2020-0029/document" TargetMode="External" /><Relationship Id="rId11" Type="http://schemas.openxmlformats.org/officeDocument/2006/relationships/hyperlink" Target="http://www.regulations.gov/" TargetMode="External" /><Relationship Id="rId12" Type="http://schemas.openxmlformats.org/officeDocument/2006/relationships/hyperlink" Target="https://downloads.regulations.gov/NRC-2020-0029-0005/content.pdf" TargetMode="External" /><Relationship Id="rId13" Type="http://schemas.openxmlformats.org/officeDocument/2006/relationships/hyperlink" Target="https://downloads.regulations.gov/NRC-2020-0029-0006/content.pdf" TargetMode="External" /><Relationship Id="rId14" Type="http://schemas.openxmlformats.org/officeDocument/2006/relationships/hyperlink" Target="https://downloads.regulations.gov/NRC-2020-0029-0007/content.pdf"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188_00_e.pdf" TargetMode="External" /><Relationship Id="rId7" Type="http://schemas.openxmlformats.org/officeDocument/2006/relationships/hyperlink" Target="https://www.ecfr.gov/current/title-10/chapter-I/part-50" TargetMode="External" /><Relationship Id="rId8" Type="http://schemas.openxmlformats.org/officeDocument/2006/relationships/hyperlink" Target="https://www.govinfo.gov/content/pkg/FR-2026-02-27/html/2026-03993.htm" TargetMode="External" /><Relationship Id="rId9" Type="http://schemas.openxmlformats.org/officeDocument/2006/relationships/hyperlink" Target="https://www.govinfo.gov/content/pkg/FR-2026-02-27/pdf/2026-0399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A6D1CC0-BBE1-4249-A136-38E629E609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2026-03-02T08:48:00Z</dcterms:created>
  <dcterms:modified xsi:type="dcterms:W3CDTF">2026-03-02T08:48:00Z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