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67F43B2C" w14:textId="77777777">
      <w:pPr>
        <w:pStyle w:val="Title"/>
        <w:rPr>
          <w:caps w:val="0"/>
          <w:kern w:val="0"/>
        </w:rPr>
      </w:pPr>
      <w:r w:rsidRPr="002F6A28">
        <w:rPr>
          <w:caps w:val="0"/>
          <w:kern w:val="0"/>
        </w:rPr>
        <w:t>NOTIFICATION</w:t>
      </w:r>
    </w:p>
    <w:p w:rsidR="009239F7" w:rsidRPr="002F6A28" w:rsidP="002F6A28" w14:paraId="1F8EEE9D" w14:textId="77777777">
      <w:pPr>
        <w:jc w:val="center"/>
      </w:pPr>
      <w:r w:rsidRPr="002F6A28">
        <w:t>The following notification is being circulated in accordance with Article 10.6</w:t>
      </w:r>
    </w:p>
    <w:p w:rsidR="009239F7" w:rsidRPr="002F6A28" w:rsidP="002F6A28" w14:paraId="4964B887"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6DA72321" w14:textId="77777777" w:rsidTr="00DB13FE">
        <w:tblPrEx>
          <w:tblW w:w="5000" w:type="pct"/>
          <w:tblLayout w:type="fixed"/>
          <w:tblLook w:val="0000"/>
        </w:tblPrEx>
        <w:tc>
          <w:tcPr>
            <w:tcW w:w="607" w:type="dxa"/>
            <w:tcBorders>
              <w:top w:val="double" w:sz="4" w:space="0" w:color="auto"/>
            </w:tcBorders>
          </w:tcPr>
          <w:p w:rsidR="00F85C99" w:rsidRPr="002F6A28" w:rsidP="002F6A28" w14:paraId="3807F56D" w14:textId="77777777">
            <w:pPr>
              <w:spacing w:before="120" w:after="120"/>
              <w:jc w:val="left"/>
            </w:pPr>
            <w:r w:rsidRPr="002F6A28">
              <w:rPr>
                <w:b/>
              </w:rPr>
              <w:t>1.</w:t>
            </w:r>
          </w:p>
        </w:tc>
        <w:tc>
          <w:tcPr>
            <w:tcW w:w="8373" w:type="dxa"/>
            <w:tcBorders>
              <w:top w:val="double" w:sz="4" w:space="0" w:color="auto"/>
            </w:tcBorders>
          </w:tcPr>
          <w:p w:rsidR="00F85C99" w:rsidRPr="002F6A28" w:rsidP="00C805B6" w14:paraId="245F1D08" w14:textId="77777777">
            <w:pPr>
              <w:spacing w:before="120" w:after="120"/>
            </w:pPr>
            <w:r w:rsidRPr="002F6A28">
              <w:rPr>
                <w:b/>
              </w:rPr>
              <w:t>Notifying Member:</w:t>
            </w:r>
            <w:r w:rsidRPr="00C92678" w:rsidR="00EE3A11">
              <w:t xml:space="preserve"> </w:t>
            </w:r>
            <w:r w:rsidRPr="00C92678" w:rsidR="00EE3A11">
              <w:rPr>
                <w:u w:val="single"/>
              </w:rPr>
              <w:t>UNITED STATES OF AMERICA</w:t>
            </w:r>
          </w:p>
          <w:p w:rsidR="00F85C99" w:rsidRPr="002F6A28" w:rsidP="002F6A28" w14:paraId="6FE98BDA"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698A6579" w14:textId="77777777" w:rsidTr="00DB13FE">
        <w:tblPrEx>
          <w:tblW w:w="5000" w:type="pct"/>
          <w:tblLayout w:type="fixed"/>
          <w:tblLook w:val="0000"/>
        </w:tblPrEx>
        <w:tc>
          <w:tcPr>
            <w:tcW w:w="607" w:type="dxa"/>
          </w:tcPr>
          <w:p w:rsidR="00F85C99" w:rsidRPr="002F6A28" w:rsidP="002F6A28" w14:paraId="3FFB896C" w14:textId="77777777">
            <w:pPr>
              <w:spacing w:before="120" w:after="120"/>
              <w:jc w:val="left"/>
            </w:pPr>
            <w:r w:rsidRPr="002F6A28">
              <w:rPr>
                <w:b/>
              </w:rPr>
              <w:t>2.</w:t>
            </w:r>
          </w:p>
        </w:tc>
        <w:tc>
          <w:tcPr>
            <w:tcW w:w="8373" w:type="dxa"/>
          </w:tcPr>
          <w:p w:rsidR="00F85C99" w:rsidRPr="002F6A28" w:rsidP="000C3B6C" w14:paraId="2FD3C562" w14:textId="77777777">
            <w:pPr>
              <w:spacing w:before="120" w:after="120"/>
            </w:pPr>
            <w:r w:rsidRPr="002F6A28">
              <w:rPr>
                <w:b/>
              </w:rPr>
              <w:t>Agency responsible:</w:t>
            </w:r>
            <w:r w:rsidRPr="00C379C8" w:rsidR="00EE3A11">
              <w:t xml:space="preserve"> </w:t>
            </w:r>
          </w:p>
          <w:p w:rsidR="00EE3A11" w:rsidRPr="00C379C8" w:rsidP="000C3B6C" w14:paraId="6A480F93" w14:textId="77777777">
            <w:pPr>
              <w:spacing w:after="120"/>
            </w:pPr>
            <w:r w:rsidRPr="00C379C8">
              <w:t>National Institute of Standards and Technology (NIST), Department of Commerce (DOC) [2295]</w:t>
            </w:r>
          </w:p>
        </w:tc>
      </w:tr>
      <w:tr w14:paraId="455B5F86" w14:textId="77777777" w:rsidTr="00DB13FE">
        <w:tblPrEx>
          <w:tblW w:w="5000" w:type="pct"/>
          <w:tblLayout w:type="fixed"/>
          <w:tblLook w:val="0000"/>
        </w:tblPrEx>
        <w:tc>
          <w:tcPr>
            <w:tcW w:w="607" w:type="dxa"/>
          </w:tcPr>
          <w:p w:rsidR="00F85C99" w:rsidRPr="002F6A28" w:rsidP="002F6A28" w14:paraId="7D63C272" w14:textId="77777777">
            <w:pPr>
              <w:spacing w:before="120" w:after="120"/>
              <w:jc w:val="left"/>
              <w:rPr>
                <w:b/>
              </w:rPr>
            </w:pPr>
            <w:r w:rsidRPr="002F6A28">
              <w:rPr>
                <w:b/>
              </w:rPr>
              <w:t>3.</w:t>
            </w:r>
          </w:p>
        </w:tc>
        <w:tc>
          <w:tcPr>
            <w:tcW w:w="8373" w:type="dxa"/>
          </w:tcPr>
          <w:p w:rsidR="00F85C99" w:rsidRPr="0058336F" w:rsidP="002F6A28" w14:paraId="77279A67" w14:textId="77777777">
            <w:pPr>
              <w:spacing w:before="120" w:after="120"/>
            </w:pPr>
            <w:r w:rsidRPr="002F6A28">
              <w:rPr>
                <w:b/>
              </w:rPr>
              <w:t>Notified under Article 2.9.2 [ ],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 [X]</w:t>
            </w:r>
            <w:r w:rsidR="00FF5C69">
              <w:rPr>
                <w:b/>
              </w:rPr>
              <w:t>:</w:t>
            </w:r>
            <w:r w:rsidR="003531C5">
              <w:t xml:space="preserve"> This action removes the regulation at 15 CFR part 272, which establishes marking requirements for toy, look-alike, and imitation firearms. The regulation was originally issued to implement statutory provisions assigning regulatory authority to NIST. Legislative amendments enacted in 2022 transferred this authority from the Department of Commerce (including NIST) to the Consumer Product Safety Commission (CPSC). Accordingly, the regulation is being withdrawn because NIST is no longer the competent authority.</w:t>
            </w:r>
          </w:p>
        </w:tc>
      </w:tr>
      <w:tr w14:paraId="1134FFEC" w14:textId="77777777" w:rsidTr="00DB13FE">
        <w:tblPrEx>
          <w:tblW w:w="5000" w:type="pct"/>
          <w:tblLayout w:type="fixed"/>
          <w:tblLook w:val="0000"/>
        </w:tblPrEx>
        <w:tc>
          <w:tcPr>
            <w:tcW w:w="607" w:type="dxa"/>
          </w:tcPr>
          <w:p w:rsidR="00F85C99" w:rsidRPr="002F6A28" w:rsidP="002F6A28" w14:paraId="5D6C6621" w14:textId="77777777">
            <w:pPr>
              <w:spacing w:before="120" w:after="120"/>
              <w:jc w:val="left"/>
            </w:pPr>
            <w:r w:rsidRPr="002F6A28">
              <w:rPr>
                <w:b/>
              </w:rPr>
              <w:t>4.</w:t>
            </w:r>
          </w:p>
        </w:tc>
        <w:tc>
          <w:tcPr>
            <w:tcW w:w="8373" w:type="dxa"/>
          </w:tcPr>
          <w:p w:rsidR="00F85C99" w:rsidRPr="002F6A28" w:rsidP="002F6A28" w14:paraId="2296E0A6"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Toy, look-alike and imitation firearms; Tricycles, scooters, pedal cars and similar wheeled toys; dolls' carriages; dolls; other toys; reduced-size ("scale") models and similar recreational models, working or not; puzzles of all kinds. (HS code(s): 9503); Toys (ICS code(s): 97.200.50)</w:t>
            </w:r>
          </w:p>
        </w:tc>
      </w:tr>
      <w:tr w14:paraId="790EF301" w14:textId="77777777" w:rsidTr="00DB13FE">
        <w:tblPrEx>
          <w:tblW w:w="5000" w:type="pct"/>
          <w:tblLayout w:type="fixed"/>
          <w:tblLook w:val="0000"/>
        </w:tblPrEx>
        <w:tc>
          <w:tcPr>
            <w:tcW w:w="607" w:type="dxa"/>
          </w:tcPr>
          <w:p w:rsidR="00F85C99" w:rsidRPr="002F6A28" w:rsidP="002F6A28" w14:paraId="394ABC61" w14:textId="77777777">
            <w:pPr>
              <w:spacing w:before="120" w:after="120"/>
              <w:jc w:val="left"/>
            </w:pPr>
            <w:r w:rsidRPr="002F6A28">
              <w:rPr>
                <w:b/>
              </w:rPr>
              <w:t>5.</w:t>
            </w:r>
          </w:p>
        </w:tc>
        <w:tc>
          <w:tcPr>
            <w:tcW w:w="8373" w:type="dxa"/>
          </w:tcPr>
          <w:p w:rsidR="00F85C99" w:rsidP="002F6A28" w14:paraId="03299F32"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Eliminating Obsolete Marking Requirements for Toy, Look-Alike, and Imitation Firearms; (2 page(s), in English)</w:t>
            </w:r>
          </w:p>
          <w:p w:rsidR="000C3B6C" w:rsidRPr="000C3B6C" w:rsidP="002F6A28" w14:paraId="6ECCFF5A"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277852" w:rsidRPr="00CE6C29" w:rsidP="002F6A28" w14:paraId="496D16C2" w14:textId="77777777">
            <w:pPr>
              <w:pBdr>
                <w:top w:val="none" w:sz="0" w:space="4" w:color="auto"/>
                <w:bottom w:val="none" w:sz="0" w:space="4" w:color="auto"/>
              </w:pBdr>
              <w:spacing w:after="120"/>
              <w:rPr>
                <w:iCs/>
              </w:rPr>
            </w:pPr>
            <w:hyperlink r:id="rId5" w:tgtFrame="_blank" w:history="1">
              <w:r w:rsidRPr="00CE6C29">
                <w:rPr>
                  <w:iCs/>
                  <w:color w:val="0000FF"/>
                  <w:u w:val="single"/>
                </w:rPr>
                <w:t>https://members.wto.org/crnattachments/2026/TBT/USA/26_01019_00_e.pdf</w:t>
              </w:r>
            </w:hyperlink>
          </w:p>
        </w:tc>
      </w:tr>
      <w:tr w14:paraId="45E42E72" w14:textId="77777777" w:rsidTr="00DB13FE">
        <w:tblPrEx>
          <w:tblW w:w="5000" w:type="pct"/>
          <w:tblLayout w:type="fixed"/>
          <w:tblLook w:val="0000"/>
        </w:tblPrEx>
        <w:tc>
          <w:tcPr>
            <w:tcW w:w="607" w:type="dxa"/>
          </w:tcPr>
          <w:p w:rsidR="00F85C99" w:rsidRPr="002F6A28" w:rsidP="002F6A28" w14:paraId="4D8D6818" w14:textId="77777777">
            <w:pPr>
              <w:spacing w:before="120" w:after="120"/>
              <w:jc w:val="left"/>
              <w:rPr>
                <w:b/>
              </w:rPr>
            </w:pPr>
            <w:r w:rsidRPr="002F6A28">
              <w:rPr>
                <w:b/>
              </w:rPr>
              <w:t>6.</w:t>
            </w:r>
          </w:p>
        </w:tc>
        <w:tc>
          <w:tcPr>
            <w:tcW w:w="8373" w:type="dxa"/>
          </w:tcPr>
          <w:p w:rsidR="00F85C99" w:rsidRPr="002F6A28" w:rsidP="002F6A28" w14:paraId="44DF4EF0" w14:textId="77777777">
            <w:pPr>
              <w:spacing w:before="120" w:after="120"/>
              <w:rPr>
                <w:b/>
              </w:rPr>
            </w:pPr>
            <w:r w:rsidRPr="002F6A28">
              <w:rPr>
                <w:b/>
              </w:rPr>
              <w:t>Description of content:</w:t>
            </w:r>
            <w:r w:rsidRPr="00C379C8" w:rsidR="00FE448B">
              <w:t xml:space="preserve"> Final rule - By this rule, the National Institute of Standards and Technology (NIST) removes its regulation setting forth marking requirements for toy, look-alike, and imitation firearms. Pursuant to statutory amendments made by the </w:t>
            </w:r>
            <w:hyperlink r:id="rId6" w:history="1">
              <w:r w:rsidRPr="00C379C8" w:rsidR="00FE448B">
                <w:rPr>
                  <w:color w:val="0000FF"/>
                  <w:u w:val="single"/>
                </w:rPr>
                <w:t>CHIPS and Science Act of 2022</w:t>
              </w:r>
            </w:hyperlink>
            <w:r w:rsidRPr="00C379C8" w:rsidR="00FE448B">
              <w:t>, the subject regulation now lacks an underlying statutory authorization and has been rendered obsolete by the new, operative marking requirements issued by the Consumer Product Safety Commission (CPSC). The removal of the subject NIST regulation is therefore necessary to reflect the current state of the underlying law and to eliminate obsolete regulatory language. This action is intended to minimize the risk of public confusion regarding the applicable marking requirements and governing authority for toy, look-alike, and imitation firearms and to promote administrative efficiency.</w:t>
            </w:r>
          </w:p>
        </w:tc>
      </w:tr>
      <w:tr w14:paraId="37677AD0" w14:textId="77777777" w:rsidTr="00DB13FE">
        <w:tblPrEx>
          <w:tblW w:w="5000" w:type="pct"/>
          <w:tblLayout w:type="fixed"/>
          <w:tblLook w:val="0000"/>
        </w:tblPrEx>
        <w:tc>
          <w:tcPr>
            <w:tcW w:w="607" w:type="dxa"/>
          </w:tcPr>
          <w:p w:rsidR="00F85C99" w:rsidRPr="002F6A28" w:rsidP="002F6A28" w14:paraId="5DD69C69" w14:textId="77777777">
            <w:pPr>
              <w:spacing w:before="120" w:after="120"/>
              <w:jc w:val="left"/>
              <w:rPr>
                <w:b/>
              </w:rPr>
            </w:pPr>
            <w:r w:rsidRPr="002F6A28">
              <w:rPr>
                <w:b/>
              </w:rPr>
              <w:t>7.</w:t>
            </w:r>
          </w:p>
        </w:tc>
        <w:tc>
          <w:tcPr>
            <w:tcW w:w="8373" w:type="dxa"/>
          </w:tcPr>
          <w:p w:rsidR="00F85C99" w:rsidRPr="002F6A28" w:rsidP="002F6A28" w14:paraId="0D3B4F8D" w14:textId="7135403B">
            <w:pPr>
              <w:spacing w:before="120" w:after="120"/>
              <w:rPr>
                <w:b/>
              </w:rPr>
            </w:pPr>
            <w:r w:rsidRPr="002F6A28">
              <w:rPr>
                <w:b/>
              </w:rPr>
              <w:t>Objective and rationale, including the nature of urgent problems where applicable:</w:t>
            </w:r>
            <w:r w:rsidRPr="00C379C8" w:rsidR="00EE3A11">
              <w:t xml:space="preserve"> </w:t>
            </w:r>
            <w:r>
              <w:t>Other</w:t>
            </w:r>
          </w:p>
        </w:tc>
      </w:tr>
      <w:tr w14:paraId="0CB3EF13" w14:textId="77777777" w:rsidTr="00DB13FE">
        <w:tblPrEx>
          <w:tblW w:w="5000" w:type="pct"/>
          <w:tblLayout w:type="fixed"/>
          <w:tblLook w:val="0000"/>
        </w:tblPrEx>
        <w:tc>
          <w:tcPr>
            <w:tcW w:w="607" w:type="dxa"/>
          </w:tcPr>
          <w:p w:rsidR="00F85C99" w:rsidRPr="002F6A28" w:rsidP="009E75ED" w14:paraId="17DF45F2" w14:textId="77777777">
            <w:pPr>
              <w:spacing w:before="120" w:after="120"/>
              <w:jc w:val="left"/>
              <w:rPr>
                <w:b/>
              </w:rPr>
            </w:pPr>
            <w:r w:rsidRPr="002F6A28">
              <w:rPr>
                <w:b/>
              </w:rPr>
              <w:t>8.</w:t>
            </w:r>
          </w:p>
        </w:tc>
        <w:tc>
          <w:tcPr>
            <w:tcW w:w="8373" w:type="dxa"/>
          </w:tcPr>
          <w:p w:rsidR="000C3B6C" w:rsidRPr="00EC00D2" w:rsidP="007F13E8" w14:paraId="6B8B1A38" w14:textId="77777777">
            <w:pPr>
              <w:spacing w:before="120" w:after="120"/>
              <w:rPr>
                <w:bCs/>
              </w:rPr>
            </w:pPr>
            <w:r w:rsidRPr="002F6A28">
              <w:rPr>
                <w:b/>
              </w:rPr>
              <w:t>Relevant documents:</w:t>
            </w:r>
            <w:r w:rsidRPr="002F6A28" w:rsidR="00EE3A11">
              <w:t xml:space="preserve"> </w:t>
            </w:r>
          </w:p>
          <w:p w:rsidR="00EE3A11" w:rsidRPr="002F6A28" w:rsidP="007F13E8" w14:paraId="5279D738" w14:textId="77777777">
            <w:pPr>
              <w:spacing w:before="120" w:after="120"/>
            </w:pPr>
            <w:r w:rsidRPr="002F6A28">
              <w:t xml:space="preserve">91 Federal Register (FR) 7824, 19 February 2026; </w:t>
            </w:r>
            <w:hyperlink r:id="rId7" w:history="1">
              <w:r w:rsidRPr="002F6A28">
                <w:rPr>
                  <w:color w:val="0000FF"/>
                  <w:u w:val="single"/>
                </w:rPr>
                <w:t>Title 15 Code of Federal Regulations (CRF) Part 272</w:t>
              </w:r>
            </w:hyperlink>
            <w:r w:rsidRPr="002F6A28">
              <w:t>:</w:t>
            </w:r>
          </w:p>
          <w:p w:rsidR="00EE3A11" w:rsidRPr="002F6A28" w:rsidP="007F13E8" w14:paraId="2742695E" w14:textId="77777777">
            <w:pPr>
              <w:spacing w:before="120" w:after="120"/>
            </w:pPr>
            <w:hyperlink r:id="rId8" w:history="1">
              <w:r w:rsidRPr="002F6A28">
                <w:rPr>
                  <w:color w:val="0000FF"/>
                  <w:u w:val="single"/>
                </w:rPr>
                <w:t>https://www.govinfo.gov/content/pkg/FR-2026-02-19/html/2026-03307.htm</w:t>
              </w:r>
            </w:hyperlink>
          </w:p>
          <w:p w:rsidR="00EE3A11" w:rsidRPr="002F6A28" w:rsidP="007F13E8" w14:paraId="39D115D0" w14:textId="77777777">
            <w:pPr>
              <w:spacing w:before="120" w:after="120"/>
            </w:pPr>
            <w:hyperlink r:id="rId9" w:history="1">
              <w:r w:rsidRPr="002F6A28">
                <w:rPr>
                  <w:color w:val="0000FF"/>
                  <w:u w:val="single"/>
                </w:rPr>
                <w:t>https://www.govinfo.gov/content/pkg/FR-2026-02-19/pdf/2026-03307.pdf</w:t>
              </w:r>
            </w:hyperlink>
          </w:p>
          <w:p w:rsidR="00EE3A11" w:rsidRPr="002F6A28" w:rsidP="007F13E8" w14:paraId="253E9E29" w14:textId="77777777">
            <w:pPr>
              <w:spacing w:before="120" w:after="120"/>
            </w:pPr>
            <w:r w:rsidRPr="002F6A28">
              <w:t xml:space="preserve">This final rule is identified by Docket Number 260210-0043. The document details are available on Regulations.gov at </w:t>
            </w:r>
            <w:hyperlink r:id="rId10" w:history="1">
              <w:r w:rsidRPr="002F6A28">
                <w:rPr>
                  <w:color w:val="0000FF"/>
                  <w:u w:val="single"/>
                </w:rPr>
                <w:t>https://www.regulations.gov/document/NIST_FRDOC_0001-0022.</w:t>
              </w:r>
            </w:hyperlink>
            <w:r w:rsidRPr="002F6A28">
              <w:t xml:space="preserve"> Documents are also accessible from </w:t>
            </w:r>
            <w:hyperlink r:id="rId11" w:history="1">
              <w:r w:rsidRPr="002F6A28">
                <w:rPr>
                  <w:color w:val="0000FF"/>
                  <w:u w:val="single"/>
                </w:rPr>
                <w:t>Regulations.gov</w:t>
              </w:r>
            </w:hyperlink>
            <w:r w:rsidRPr="002F6A28">
              <w:t xml:space="preserve"> by searching the Docket Number.</w:t>
            </w:r>
          </w:p>
          <w:p w:rsidR="00EE3A11" w:rsidRPr="002F6A28" w:rsidP="007F13E8" w14:paraId="6E465D50" w14:textId="77777777">
            <w:pPr>
              <w:spacing w:before="120" w:after="120"/>
            </w:pPr>
            <w:r w:rsidRPr="002F6A28">
              <w:rPr>
                <w:b/>
                <w:bCs/>
              </w:rPr>
              <w:t>Relevant notifications:</w:t>
            </w:r>
          </w:p>
          <w:p w:rsidR="00EE3A11" w:rsidRPr="002F6A28" w:rsidP="007F13E8" w14:paraId="1C76BEC6" w14:textId="77777777">
            <w:pPr>
              <w:numPr>
                <w:ilvl w:val="0"/>
                <w:numId w:val="16"/>
              </w:numPr>
              <w:spacing w:before="120" w:after="120"/>
            </w:pPr>
            <w:hyperlink r:id="rId12" w:history="1">
              <w:r w:rsidRPr="002F6A28">
                <w:rPr>
                  <w:color w:val="0000FF"/>
                  <w:u w:val="single"/>
                </w:rPr>
                <w:t>G/TBT/N/USA/1996</w:t>
              </w:r>
            </w:hyperlink>
          </w:p>
          <w:p w:rsidR="00EE3A11" w:rsidRPr="00DB4CFD" w:rsidP="007F13E8" w14:paraId="12817D63" w14:textId="77777777">
            <w:pPr>
              <w:numPr>
                <w:ilvl w:val="0"/>
                <w:numId w:val="16"/>
              </w:numPr>
              <w:spacing w:before="120" w:after="120"/>
              <w:rPr>
                <w:lang w:val="es-ES"/>
              </w:rPr>
            </w:pPr>
            <w:hyperlink r:id="rId13" w:history="1">
              <w:r w:rsidRPr="00DB4CFD">
                <w:rPr>
                  <w:color w:val="0000FF"/>
                  <w:u w:val="single"/>
                  <w:lang w:val="es-ES"/>
                </w:rPr>
                <w:t>G/TBT/N/USA/1996/Corr.1</w:t>
              </w:r>
            </w:hyperlink>
          </w:p>
        </w:tc>
      </w:tr>
      <w:tr w14:paraId="5A22D858" w14:textId="77777777" w:rsidTr="00DB13FE">
        <w:tblPrEx>
          <w:tblW w:w="5000" w:type="pct"/>
          <w:tblLayout w:type="fixed"/>
          <w:tblLook w:val="0000"/>
        </w:tblPrEx>
        <w:tc>
          <w:tcPr>
            <w:tcW w:w="607" w:type="dxa"/>
          </w:tcPr>
          <w:p w:rsidR="00EE3A11" w:rsidRPr="002F6A28" w:rsidP="002F6A28" w14:paraId="6DE7508A" w14:textId="77777777">
            <w:pPr>
              <w:spacing w:before="120" w:after="120"/>
              <w:jc w:val="left"/>
              <w:rPr>
                <w:b/>
              </w:rPr>
            </w:pPr>
            <w:r w:rsidRPr="002F6A28">
              <w:rPr>
                <w:b/>
              </w:rPr>
              <w:t>9.</w:t>
            </w:r>
          </w:p>
        </w:tc>
        <w:tc>
          <w:tcPr>
            <w:tcW w:w="8373" w:type="dxa"/>
          </w:tcPr>
          <w:p w:rsidR="00EE3A11" w:rsidRPr="002F6A28" w:rsidP="008953C4" w14:paraId="5E09B784" w14:textId="77777777">
            <w:pPr>
              <w:spacing w:before="120" w:after="120"/>
            </w:pPr>
            <w:r w:rsidRPr="002F6A28">
              <w:rPr>
                <w:b/>
              </w:rPr>
              <w:t>Proposed date of adoption:</w:t>
            </w:r>
            <w:r w:rsidRPr="00C379C8">
              <w:t xml:space="preserve"> </w:t>
            </w:r>
            <w:r w:rsidRPr="00C379C8">
              <w:t>19 February 2026</w:t>
            </w:r>
          </w:p>
          <w:p w:rsidR="00EE3A11" w:rsidRPr="002F6A28" w:rsidP="008953C4" w14:paraId="35D226AF" w14:textId="77777777">
            <w:pPr>
              <w:spacing w:after="120"/>
            </w:pPr>
            <w:r w:rsidRPr="002F6A28">
              <w:rPr>
                <w:b/>
              </w:rPr>
              <w:t>Proposed date of entry into force:</w:t>
            </w:r>
            <w:r w:rsidRPr="00C379C8">
              <w:t xml:space="preserve"> </w:t>
            </w:r>
            <w:r w:rsidRPr="00C379C8">
              <w:t>19 February 2026</w:t>
            </w:r>
          </w:p>
        </w:tc>
      </w:tr>
      <w:tr w14:paraId="25EAC2F3" w14:textId="77777777" w:rsidTr="00DB13FE">
        <w:tblPrEx>
          <w:tblW w:w="5000" w:type="pct"/>
          <w:tblLayout w:type="fixed"/>
          <w:tblLook w:val="0000"/>
        </w:tblPrEx>
        <w:tc>
          <w:tcPr>
            <w:tcW w:w="607" w:type="dxa"/>
            <w:tcBorders>
              <w:bottom w:val="double" w:sz="4" w:space="0" w:color="auto"/>
            </w:tcBorders>
          </w:tcPr>
          <w:p w:rsidR="00F85C99" w:rsidRPr="002F6A28" w:rsidP="002F6A28" w14:paraId="05D2A0D5"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7C70BE54"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0C428A24" w14:textId="77777777">
            <w:pPr>
              <w:spacing w:before="120" w:after="120"/>
              <w:rPr>
                <w:bCs/>
              </w:rPr>
            </w:pPr>
            <w:r w:rsidRPr="002F6A28">
              <w:rPr>
                <w:b/>
              </w:rPr>
              <w:t>Final date for comments:</w:t>
            </w:r>
            <w:r w:rsidRPr="00C379C8" w:rsidR="00EE3A11">
              <w:t xml:space="preserve"> Not Applicable</w:t>
            </w:r>
          </w:p>
          <w:p w:rsidR="000C3B6C" w:rsidRPr="00E3324D" w:rsidP="000C3B6C" w14:paraId="6FBA30A9"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54E9BC54" w14:textId="77777777">
            <w:pPr>
              <w:spacing w:before="120" w:after="120"/>
            </w:pPr>
            <w:r w:rsidRPr="00E3324D">
              <w:rPr>
                <w:b/>
                <w:bCs/>
              </w:rPr>
              <w:t>Contact details of agency or authority designated to handle comments regarding the notification:</w:t>
            </w:r>
            <w:r w:rsidRPr="00CE6C29" w:rsidR="00CE6C29">
              <w:t xml:space="preserve"> </w:t>
            </w:r>
          </w:p>
        </w:tc>
      </w:tr>
    </w:tbl>
    <w:p w:rsidR="00EE3A11" w:rsidRPr="002F6A28" w:rsidP="00887259" w14:paraId="3A45B55A" w14:textId="77777777">
      <w:pPr>
        <w:jc w:val="center"/>
      </w:pPr>
    </w:p>
    <w:sectPr w:rsidSect="00760DB3">
      <w:headerReference w:type="even" r:id="rId14"/>
      <w:headerReference w:type="default" r:id="rId15"/>
      <w:footerReference w:type="even" r:id="rId16"/>
      <w:footerReference w:type="default" r:id="rId17"/>
      <w:headerReference w:type="first" r:id="rId18"/>
      <w:footerReference w:type="first" r:id="rId19"/>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DDE208C"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10719B4"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3890B33B"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E537B50" w14:textId="77777777">
    <w:pPr>
      <w:pStyle w:val="Header"/>
      <w:pBdr>
        <w:bottom w:val="single" w:sz="4" w:space="1" w:color="auto"/>
      </w:pBdr>
      <w:tabs>
        <w:tab w:val="clear" w:pos="4513"/>
        <w:tab w:val="clear" w:pos="9027"/>
      </w:tabs>
      <w:jc w:val="center"/>
    </w:pPr>
    <w:r w:rsidRPr="002F6A28">
      <w:t>tbtSymbol</w:t>
    </w:r>
  </w:p>
  <w:p w:rsidR="009239F7" w:rsidRPr="002F6A28" w:rsidP="009239F7" w14:paraId="73AE8DC4" w14:textId="77777777">
    <w:pPr>
      <w:pStyle w:val="Header"/>
      <w:pBdr>
        <w:bottom w:val="single" w:sz="4" w:space="1" w:color="auto"/>
      </w:pBdr>
      <w:tabs>
        <w:tab w:val="clear" w:pos="4513"/>
        <w:tab w:val="clear" w:pos="9027"/>
      </w:tabs>
      <w:jc w:val="center"/>
    </w:pPr>
  </w:p>
  <w:p w:rsidR="009239F7" w:rsidRPr="002F6A28" w:rsidP="009239F7" w14:paraId="0A819304"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27F1A8D7"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84E50EC" w14:textId="77777777">
    <w:pPr>
      <w:pStyle w:val="Header"/>
      <w:pBdr>
        <w:bottom w:val="single" w:sz="4" w:space="1" w:color="auto"/>
      </w:pBdr>
      <w:tabs>
        <w:tab w:val="clear" w:pos="4513"/>
        <w:tab w:val="clear" w:pos="9027"/>
      </w:tabs>
      <w:jc w:val="center"/>
    </w:pPr>
    <w:bookmarkStart w:id="0" w:name="spsSymbolHeader"/>
    <w:r w:rsidRPr="002F6A28">
      <w:t>G/TBT/N/USA/2262</w:t>
    </w:r>
    <w:bookmarkEnd w:id="0"/>
  </w:p>
  <w:p w:rsidR="009239F7" w:rsidRPr="002F6A28" w:rsidP="009239F7" w14:paraId="7F83514F" w14:textId="77777777">
    <w:pPr>
      <w:pStyle w:val="Header"/>
      <w:pBdr>
        <w:bottom w:val="single" w:sz="4" w:space="1" w:color="auto"/>
      </w:pBdr>
      <w:tabs>
        <w:tab w:val="clear" w:pos="4513"/>
        <w:tab w:val="clear" w:pos="9027"/>
      </w:tabs>
      <w:jc w:val="center"/>
    </w:pPr>
  </w:p>
  <w:p w:rsidR="009239F7" w:rsidRPr="002F6A28" w:rsidP="009239F7" w14:paraId="6BD35342"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252E0C14"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890BC3D"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2F8EAEAA"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0FCF8E3F" w14:textId="77777777">
          <w:pPr>
            <w:jc w:val="right"/>
            <w:rPr>
              <w:b/>
              <w:color w:val="FF0000"/>
              <w:szCs w:val="16"/>
            </w:rPr>
          </w:pPr>
        </w:p>
      </w:tc>
    </w:tr>
    <w:bookmarkEnd w:id="1"/>
    <w:tr w14:paraId="7BB45C7B"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53923039"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2A50E029" w14:textId="77777777">
          <w:pPr>
            <w:jc w:val="right"/>
            <w:rPr>
              <w:b/>
              <w:szCs w:val="16"/>
            </w:rPr>
          </w:pPr>
        </w:p>
      </w:tc>
    </w:tr>
    <w:tr w14:paraId="2CB88F31"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514CE7D9"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0E6751C4" w14:textId="77777777">
          <w:pPr>
            <w:jc w:val="right"/>
            <w:rPr>
              <w:b/>
              <w:szCs w:val="16"/>
            </w:rPr>
          </w:pPr>
          <w:bookmarkStart w:id="2" w:name="bmkSymbols"/>
          <w:r w:rsidRPr="002F6A28">
            <w:rPr>
              <w:b/>
              <w:szCs w:val="16"/>
            </w:rPr>
            <w:t>G/TBT/N/USA/2262</w:t>
          </w:r>
          <w:bookmarkEnd w:id="2"/>
        </w:p>
      </w:tc>
    </w:tr>
    <w:tr w14:paraId="68A683F8"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3F5A0D1D" w14:textId="77777777"/>
      </w:tc>
      <w:tc>
        <w:tcPr>
          <w:tcW w:w="5448" w:type="dxa"/>
          <w:gridSpan w:val="2"/>
          <w:shd w:val="clear" w:color="auto" w:fill="FFFFFF"/>
          <w:tcMar>
            <w:left w:w="108" w:type="dxa"/>
            <w:right w:w="108" w:type="dxa"/>
          </w:tcMar>
          <w:vAlign w:val="center"/>
        </w:tcPr>
        <w:p w:rsidR="00ED54E0" w:rsidRPr="009239F7" w:rsidP="00B801E9" w14:paraId="7CB5E1DB" w14:textId="77777777">
          <w:pPr>
            <w:jc w:val="right"/>
            <w:rPr>
              <w:szCs w:val="16"/>
            </w:rPr>
          </w:pPr>
          <w:bookmarkStart w:id="3" w:name="spsDateDistribution"/>
          <w:bookmarkStart w:id="4" w:name="bmkDate"/>
          <w:r w:rsidRPr="009239F7">
            <w:rPr>
              <w:szCs w:val="16"/>
            </w:rPr>
            <w:t>20 February 2026</w:t>
          </w:r>
          <w:bookmarkEnd w:id="3"/>
          <w:bookmarkEnd w:id="4"/>
        </w:p>
      </w:tc>
    </w:tr>
    <w:tr w14:paraId="6308AA19"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5721B335" w14:textId="77777777">
          <w:pPr>
            <w:jc w:val="left"/>
            <w:rPr>
              <w:b/>
            </w:rPr>
          </w:pPr>
          <w:bookmarkStart w:id="5" w:name="bmkSerial"/>
          <w:r>
            <w:rPr>
              <w:rFonts w:ascii="Verdana" w:eastAsia="Verdana" w:hAnsi="Verdana" w:cs="Verdana"/>
              <w:b w:val="0"/>
              <w:color w:val="FF0000"/>
              <w:sz w:val="18"/>
            </w:rPr>
            <w:t>(26-1217)</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42E4EA98"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541E95F4"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5E727BF7"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690A885F"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346B8BA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529025304">
    <w:abstractNumId w:val="9"/>
  </w:num>
  <w:num w:numId="2" w16cid:durableId="1259020424">
    <w:abstractNumId w:val="7"/>
  </w:num>
  <w:num w:numId="3" w16cid:durableId="992296065">
    <w:abstractNumId w:val="6"/>
  </w:num>
  <w:num w:numId="4" w16cid:durableId="1086344315">
    <w:abstractNumId w:val="5"/>
  </w:num>
  <w:num w:numId="5" w16cid:durableId="105540981">
    <w:abstractNumId w:val="4"/>
  </w:num>
  <w:num w:numId="6" w16cid:durableId="1234700360">
    <w:abstractNumId w:val="12"/>
  </w:num>
  <w:num w:numId="7" w16cid:durableId="115872795">
    <w:abstractNumId w:val="11"/>
  </w:num>
  <w:num w:numId="8" w16cid:durableId="2062777502">
    <w:abstractNumId w:val="10"/>
  </w:num>
  <w:num w:numId="9" w16cid:durableId="17329269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77363395">
    <w:abstractNumId w:val="13"/>
  </w:num>
  <w:num w:numId="11" w16cid:durableId="1721707293">
    <w:abstractNumId w:val="8"/>
  </w:num>
  <w:num w:numId="12" w16cid:durableId="1741364817">
    <w:abstractNumId w:val="3"/>
  </w:num>
  <w:num w:numId="13" w16cid:durableId="1401174522">
    <w:abstractNumId w:val="2"/>
  </w:num>
  <w:num w:numId="14" w16cid:durableId="1235817668">
    <w:abstractNumId w:val="1"/>
  </w:num>
  <w:num w:numId="15" w16cid:durableId="687371600">
    <w:abstractNumId w:val="0"/>
  </w:num>
  <w:num w:numId="16" w16cid:durableId="208372085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B54D9"/>
    <w:rsid w:val="001E291F"/>
    <w:rsid w:val="00204CC3"/>
    <w:rsid w:val="00214E54"/>
    <w:rsid w:val="00233408"/>
    <w:rsid w:val="002514C1"/>
    <w:rsid w:val="00267723"/>
    <w:rsid w:val="00270637"/>
    <w:rsid w:val="0027067B"/>
    <w:rsid w:val="00277852"/>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B4CFD"/>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6DCF03F"/>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regulations.gov/document/NIST_FRDOC_0001-0022" TargetMode="External" /><Relationship Id="rId11" Type="http://schemas.openxmlformats.org/officeDocument/2006/relationships/hyperlink" Target="http://www.regulations.gov/" TargetMode="External" /><Relationship Id="rId12" Type="http://schemas.openxmlformats.org/officeDocument/2006/relationships/hyperlink" Target="https://eping.wto.org/en/Search/Index?viewData=G/TBT/N/USA/1996" TargetMode="External" /><Relationship Id="rId13" Type="http://schemas.openxmlformats.org/officeDocument/2006/relationships/hyperlink" Target="https://eping.wto.org/en/Search/Index?viewData=G/TBT/N/USA/1996/Corr.1" TargetMode="External"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header" Target="header3.xml" /><Relationship Id="rId19" Type="http://schemas.openxmlformats.org/officeDocument/2006/relationships/footer" Target="footer3.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TBT/USA/26_01019_00_e.pdf" TargetMode="External" /><Relationship Id="rId6" Type="http://schemas.openxmlformats.org/officeDocument/2006/relationships/hyperlink" Target="https://www.congress.gov/bill/117th-congress/house-bill/4346" TargetMode="External" /><Relationship Id="rId7" Type="http://schemas.openxmlformats.org/officeDocument/2006/relationships/hyperlink" Target="https://www.ecfr.gov/current/title-15/subtitle-B/chapter-II/subchapter-H/part-272" TargetMode="External" /><Relationship Id="rId8" Type="http://schemas.openxmlformats.org/officeDocument/2006/relationships/hyperlink" Target="https://www.govinfo.gov/content/pkg/FR-2026-02-19/html/2026-03307.htm" TargetMode="External" /><Relationship Id="rId9" Type="http://schemas.openxmlformats.org/officeDocument/2006/relationships/hyperlink" Target="https://www.govinfo.gov/content/pkg/FR-2026-02-19/pdf/2026-03307.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644</Words>
  <Characters>3672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2026-02-20T09:10:00Z</dcterms:created>
  <dcterms:modified xsi:type="dcterms:W3CDTF">2026-02-20T09:10:00Z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