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99FA4C0" w14:textId="77777777">
      <w:pPr>
        <w:pStyle w:val="Title"/>
        <w:rPr>
          <w:caps w:val="0"/>
          <w:kern w:val="0"/>
        </w:rPr>
      </w:pPr>
      <w:r w:rsidRPr="002F6A28">
        <w:rPr>
          <w:caps w:val="0"/>
          <w:kern w:val="0"/>
        </w:rPr>
        <w:t>NOTIFICATION</w:t>
      </w:r>
    </w:p>
    <w:p w:rsidR="009239F7" w:rsidRPr="002F6A28" w:rsidP="002F6A28" w14:paraId="7C806291" w14:textId="77777777">
      <w:pPr>
        <w:jc w:val="center"/>
      </w:pPr>
      <w:r w:rsidRPr="002F6A28">
        <w:t>The following notification is being circulated in accordance with Article 10.6</w:t>
      </w:r>
    </w:p>
    <w:p w:rsidR="009239F7" w:rsidRPr="002F6A28" w:rsidP="002F6A28" w14:paraId="6452489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0947928" w14:textId="77777777" w:rsidTr="00DB13FE">
        <w:tblPrEx>
          <w:tblW w:w="5000" w:type="pct"/>
          <w:tblLayout w:type="fixed"/>
          <w:tblLook w:val="0000"/>
        </w:tblPrEx>
        <w:tc>
          <w:tcPr>
            <w:tcW w:w="607" w:type="dxa"/>
            <w:tcBorders>
              <w:top w:val="double" w:sz="4" w:space="0" w:color="auto"/>
            </w:tcBorders>
          </w:tcPr>
          <w:p w:rsidR="00F85C99" w:rsidRPr="002F6A28" w:rsidP="002F6A28" w14:paraId="43B7A2B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6E95855"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70EEB4A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03B48CC" w14:textId="77777777" w:rsidTr="00DB13FE">
        <w:tblPrEx>
          <w:tblW w:w="5000" w:type="pct"/>
          <w:tblLayout w:type="fixed"/>
          <w:tblLook w:val="0000"/>
        </w:tblPrEx>
        <w:tc>
          <w:tcPr>
            <w:tcW w:w="607" w:type="dxa"/>
          </w:tcPr>
          <w:p w:rsidR="00F85C99" w:rsidRPr="002F6A28" w:rsidP="002F6A28" w14:paraId="2AF89FF7" w14:textId="77777777">
            <w:pPr>
              <w:spacing w:before="120" w:after="120"/>
              <w:jc w:val="left"/>
            </w:pPr>
            <w:r w:rsidRPr="002F6A28">
              <w:rPr>
                <w:b/>
              </w:rPr>
              <w:t>2.</w:t>
            </w:r>
          </w:p>
        </w:tc>
        <w:tc>
          <w:tcPr>
            <w:tcW w:w="8373" w:type="dxa"/>
          </w:tcPr>
          <w:p w:rsidR="00F85C99" w:rsidRPr="002F6A28" w:rsidP="000C3B6C" w14:paraId="1F1D958F" w14:textId="77777777">
            <w:pPr>
              <w:spacing w:before="120" w:after="120"/>
            </w:pPr>
            <w:r w:rsidRPr="002F6A28">
              <w:rPr>
                <w:b/>
              </w:rPr>
              <w:t>Agency responsible:</w:t>
            </w:r>
            <w:r w:rsidRPr="00C379C8" w:rsidR="00EE3A11">
              <w:t xml:space="preserve"> </w:t>
            </w:r>
          </w:p>
          <w:p w:rsidR="00EE3A11" w:rsidRPr="00C379C8" w:rsidP="000C3B6C" w14:paraId="4CFF45B9" w14:textId="77777777">
            <w:r w:rsidRPr="00C379C8">
              <w:t>Atty. Paolo S. Teston</w:t>
            </w:r>
          </w:p>
          <w:p w:rsidR="00EE3A11" w:rsidRPr="00C379C8" w:rsidP="000C3B6C" w14:paraId="78229B93" w14:textId="77777777">
            <w:r w:rsidRPr="00C379C8">
              <w:t>Director General Food and Drug Administration</w:t>
            </w:r>
          </w:p>
          <w:p w:rsidR="00EE3A11" w:rsidRPr="00C379C8" w:rsidP="000C3B6C" w14:paraId="62B760A5" w14:textId="77777777">
            <w:r w:rsidRPr="00C379C8">
              <w:t>DEPARTMENT OF HEALTH</w:t>
            </w:r>
          </w:p>
          <w:p w:rsidR="00EE3A11" w:rsidRPr="00C379C8" w:rsidP="000C3B6C" w14:paraId="300378BA" w14:textId="77777777">
            <w:pPr>
              <w:spacing w:after="120"/>
            </w:pPr>
            <w:r w:rsidRPr="00C379C8">
              <w:t>www.fda.gov.ph</w:t>
            </w:r>
          </w:p>
        </w:tc>
      </w:tr>
      <w:tr w14:paraId="0932D356" w14:textId="77777777" w:rsidTr="00DB13FE">
        <w:tblPrEx>
          <w:tblW w:w="5000" w:type="pct"/>
          <w:tblLayout w:type="fixed"/>
          <w:tblLook w:val="0000"/>
        </w:tblPrEx>
        <w:tc>
          <w:tcPr>
            <w:tcW w:w="607" w:type="dxa"/>
          </w:tcPr>
          <w:p w:rsidR="00F85C99" w:rsidRPr="002F6A28" w:rsidP="002F6A28" w14:paraId="4D6469B0" w14:textId="77777777">
            <w:pPr>
              <w:spacing w:before="120" w:after="120"/>
              <w:jc w:val="left"/>
              <w:rPr>
                <w:b/>
              </w:rPr>
            </w:pPr>
            <w:r w:rsidRPr="002F6A28">
              <w:rPr>
                <w:b/>
              </w:rPr>
              <w:t>3.</w:t>
            </w:r>
          </w:p>
        </w:tc>
        <w:tc>
          <w:tcPr>
            <w:tcW w:w="8373" w:type="dxa"/>
          </w:tcPr>
          <w:p w:rsidR="00F85C99" w:rsidRPr="0058336F" w:rsidP="002F6A28" w14:paraId="20376BE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0FDF9D0" w14:textId="77777777" w:rsidTr="00DB13FE">
        <w:tblPrEx>
          <w:tblW w:w="5000" w:type="pct"/>
          <w:tblLayout w:type="fixed"/>
          <w:tblLook w:val="0000"/>
        </w:tblPrEx>
        <w:tc>
          <w:tcPr>
            <w:tcW w:w="607" w:type="dxa"/>
          </w:tcPr>
          <w:p w:rsidR="00F85C99" w:rsidRPr="002F6A28" w:rsidP="002F6A28" w14:paraId="7DE244FC" w14:textId="77777777">
            <w:pPr>
              <w:spacing w:before="120" w:after="120"/>
              <w:jc w:val="left"/>
            </w:pPr>
            <w:r w:rsidRPr="002F6A28">
              <w:rPr>
                <w:b/>
              </w:rPr>
              <w:t>4.</w:t>
            </w:r>
          </w:p>
        </w:tc>
        <w:tc>
          <w:tcPr>
            <w:tcW w:w="8373" w:type="dxa"/>
          </w:tcPr>
          <w:p w:rsidR="00F85C99" w:rsidRPr="002F6A28" w:rsidP="002F6A28" w14:paraId="6C7D60F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technology (ICS code(s): 67)</w:t>
            </w:r>
          </w:p>
        </w:tc>
      </w:tr>
      <w:tr w14:paraId="6D76F721" w14:textId="77777777" w:rsidTr="00DB13FE">
        <w:tblPrEx>
          <w:tblW w:w="5000" w:type="pct"/>
          <w:tblLayout w:type="fixed"/>
          <w:tblLook w:val="0000"/>
        </w:tblPrEx>
        <w:tc>
          <w:tcPr>
            <w:tcW w:w="607" w:type="dxa"/>
          </w:tcPr>
          <w:p w:rsidR="00F85C99" w:rsidRPr="002F6A28" w:rsidP="002F6A28" w14:paraId="4A6573CF" w14:textId="77777777">
            <w:pPr>
              <w:spacing w:before="120" w:after="120"/>
              <w:jc w:val="left"/>
            </w:pPr>
            <w:r w:rsidRPr="002F6A28">
              <w:rPr>
                <w:b/>
              </w:rPr>
              <w:t>5.</w:t>
            </w:r>
          </w:p>
        </w:tc>
        <w:tc>
          <w:tcPr>
            <w:tcW w:w="8373" w:type="dxa"/>
          </w:tcPr>
          <w:p w:rsidR="00F85C99" w:rsidP="002F6A28" w14:paraId="31189E7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FDA Draft Circular on the Guidelines on the Classification of Deficiencies Observed during the Conduct of Inspection According to Risk, and the Procedure of Compliance of Food Business Operators to the Observed Deficiencies; (27 page(s), in English)</w:t>
            </w:r>
          </w:p>
          <w:p w:rsidR="000C3B6C" w:rsidRPr="000C3B6C" w:rsidP="002F6A28" w14:paraId="18844C5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A6CE2" w:rsidRPr="00CE6C29" w:rsidP="002F6A28" w14:paraId="267285C5"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https://members.wto.org/crnattachments/2026/TBT/PHL/26_01021_00_e.pdf</w:t>
              </w:r>
            </w:hyperlink>
          </w:p>
          <w:p w:rsidR="007A6CE2" w:rsidRPr="00CE6C29" w:rsidP="002F6A28" w14:paraId="1282A552" w14:textId="77777777">
            <w:pPr>
              <w:rPr>
                <w:iCs/>
              </w:rPr>
            </w:pPr>
            <w:r w:rsidRPr="00CE6C29">
              <w:rPr>
                <w:iCs/>
              </w:rPr>
              <w:t>Atty. Paolo S. Teston</w:t>
            </w:r>
          </w:p>
          <w:p w:rsidR="007A6CE2" w:rsidRPr="00CE6C29" w:rsidP="002F6A28" w14:paraId="390CEA98" w14:textId="77777777">
            <w:pPr>
              <w:rPr>
                <w:iCs/>
              </w:rPr>
            </w:pPr>
            <w:r w:rsidRPr="00CE6C29">
              <w:rPr>
                <w:iCs/>
              </w:rPr>
              <w:t>Director General Food and Drug Administration</w:t>
            </w:r>
          </w:p>
          <w:p w:rsidR="007A6CE2" w:rsidRPr="00CE6C29" w:rsidP="002F6A28" w14:paraId="3F909EB6" w14:textId="77777777">
            <w:pPr>
              <w:rPr>
                <w:iCs/>
              </w:rPr>
            </w:pPr>
            <w:r w:rsidRPr="00CE6C29">
              <w:rPr>
                <w:iCs/>
              </w:rPr>
              <w:t>DEPARTMENT OF HEALTH</w:t>
            </w:r>
          </w:p>
          <w:p w:rsidR="007A6CE2" w:rsidRPr="00CE6C29" w:rsidP="002F6A28" w14:paraId="2A258FA0" w14:textId="77777777">
            <w:pPr>
              <w:rPr>
                <w:iCs/>
              </w:rPr>
            </w:pPr>
            <w:r w:rsidRPr="00CE6C29">
              <w:rPr>
                <w:iCs/>
              </w:rPr>
              <w:t>www.fda.gov.ph</w:t>
            </w:r>
          </w:p>
          <w:p w:rsidR="007A6CE2" w:rsidRPr="00CE6C29" w:rsidP="002F6A28" w14:paraId="7E03A8FD" w14:textId="77777777">
            <w:pPr>
              <w:spacing w:after="120"/>
              <w:rPr>
                <w:iCs/>
              </w:rPr>
            </w:pPr>
            <w:r w:rsidRPr="00CE6C29">
              <w:rPr>
                <w:iCs/>
              </w:rPr>
              <w:t xml:space="preserve">Email: </w:t>
            </w:r>
            <w:hyperlink r:id="rId7" w:history="1">
              <w:r w:rsidRPr="00CE6C29">
                <w:rPr>
                  <w:iCs/>
                  <w:color w:val="0000FF"/>
                  <w:u w:val="single"/>
                </w:rPr>
                <w:t>ojolaurenana@fda.gov.ph</w:t>
              </w:r>
            </w:hyperlink>
            <w:r w:rsidRPr="00CE6C29">
              <w:rPr>
                <w:iCs/>
              </w:rPr>
              <w:t xml:space="preserve"> ; </w:t>
            </w:r>
            <w:hyperlink r:id="rId8" w:history="1">
              <w:r w:rsidRPr="00CE6C29">
                <w:rPr>
                  <w:iCs/>
                  <w:color w:val="0000FF"/>
                  <w:u w:val="single"/>
                </w:rPr>
                <w:t>BPS@dti.gov.ph</w:t>
              </w:r>
            </w:hyperlink>
          </w:p>
        </w:tc>
      </w:tr>
      <w:tr w14:paraId="209301ED" w14:textId="77777777" w:rsidTr="00DB13FE">
        <w:tblPrEx>
          <w:tblW w:w="5000" w:type="pct"/>
          <w:tblLayout w:type="fixed"/>
          <w:tblLook w:val="0000"/>
        </w:tblPrEx>
        <w:tc>
          <w:tcPr>
            <w:tcW w:w="607" w:type="dxa"/>
          </w:tcPr>
          <w:p w:rsidR="00F85C99" w:rsidRPr="002F6A28" w:rsidP="002F6A28" w14:paraId="07F3ABB2" w14:textId="77777777">
            <w:pPr>
              <w:spacing w:before="120" w:after="120"/>
              <w:jc w:val="left"/>
              <w:rPr>
                <w:b/>
              </w:rPr>
            </w:pPr>
            <w:r w:rsidRPr="002F6A28">
              <w:rPr>
                <w:b/>
              </w:rPr>
              <w:t>6.</w:t>
            </w:r>
          </w:p>
        </w:tc>
        <w:tc>
          <w:tcPr>
            <w:tcW w:w="8373" w:type="dxa"/>
          </w:tcPr>
          <w:p w:rsidR="00F85C99" w:rsidRPr="002F6A28" w:rsidP="002F6A28" w14:paraId="2A0E8523" w14:textId="77777777">
            <w:pPr>
              <w:spacing w:before="120" w:after="120"/>
              <w:rPr>
                <w:b/>
              </w:rPr>
            </w:pPr>
            <w:r w:rsidRPr="002F6A28">
              <w:rPr>
                <w:b/>
              </w:rPr>
              <w:t>Description of content:</w:t>
            </w:r>
            <w:r w:rsidRPr="00C379C8" w:rsidR="00FE448B">
              <w:t xml:space="preserve"> This Circular intends to provide guidelines on the observed deficiencies during inspection according to risk.</w:t>
            </w:r>
          </w:p>
          <w:p w:rsidR="00FE448B" w:rsidRPr="00C379C8" w:rsidP="002F6A28" w14:paraId="0A164F68" w14:textId="77777777">
            <w:pPr>
              <w:spacing w:before="120" w:after="120"/>
            </w:pPr>
            <w:r w:rsidRPr="00C379C8">
              <w:t>Specifically, it aims to:</w:t>
            </w:r>
          </w:p>
          <w:p w:rsidR="00FE448B" w:rsidRPr="00C379C8" w:rsidP="002F6A28" w14:paraId="14F10B65" w14:textId="77777777">
            <w:pPr>
              <w:spacing w:before="120" w:after="120"/>
            </w:pPr>
            <w:r w:rsidRPr="00C379C8">
              <w:t>A. Classify the observations noted during inspection of FBOs according to the type of deficiency.</w:t>
            </w:r>
          </w:p>
          <w:p w:rsidR="00FE448B" w:rsidRPr="00C379C8" w:rsidP="002F6A28" w14:paraId="7E4EE785" w14:textId="77777777">
            <w:pPr>
              <w:spacing w:before="120" w:after="120"/>
            </w:pPr>
            <w:r w:rsidRPr="00C379C8">
              <w:t>B. Provide guidance for FBOs on the classification of deficiencies observed by the FDA inspectorate during inspection.</w:t>
            </w:r>
          </w:p>
          <w:p w:rsidR="00FE448B" w:rsidRPr="00C379C8" w:rsidP="002F6A28" w14:paraId="3414E49C" w14:textId="77777777">
            <w:pPr>
              <w:spacing w:before="120" w:after="120"/>
            </w:pPr>
            <w:r w:rsidRPr="00C379C8">
              <w:t>C. Provide guidance for FBOs on the compliance to the observed deficiencies during inspection.</w:t>
            </w:r>
          </w:p>
        </w:tc>
      </w:tr>
      <w:tr w14:paraId="4C473A18" w14:textId="77777777" w:rsidTr="00DB13FE">
        <w:tblPrEx>
          <w:tblW w:w="5000" w:type="pct"/>
          <w:tblLayout w:type="fixed"/>
          <w:tblLook w:val="0000"/>
        </w:tblPrEx>
        <w:tc>
          <w:tcPr>
            <w:tcW w:w="607" w:type="dxa"/>
          </w:tcPr>
          <w:p w:rsidR="00F85C99" w:rsidRPr="002F6A28" w:rsidP="002F6A28" w14:paraId="42BD9EFD" w14:textId="77777777">
            <w:pPr>
              <w:spacing w:before="120" w:after="120"/>
              <w:jc w:val="left"/>
              <w:rPr>
                <w:b/>
              </w:rPr>
            </w:pPr>
            <w:r w:rsidRPr="002F6A28">
              <w:rPr>
                <w:b/>
              </w:rPr>
              <w:t>7.</w:t>
            </w:r>
          </w:p>
        </w:tc>
        <w:tc>
          <w:tcPr>
            <w:tcW w:w="8373" w:type="dxa"/>
          </w:tcPr>
          <w:p w:rsidR="00F85C99" w:rsidRPr="002F6A28" w:rsidP="002F6A28" w14:paraId="7F892B1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61B15012" w14:textId="77777777" w:rsidTr="00DB13FE">
        <w:tblPrEx>
          <w:tblW w:w="5000" w:type="pct"/>
          <w:tblLayout w:type="fixed"/>
          <w:tblLook w:val="0000"/>
        </w:tblPrEx>
        <w:tc>
          <w:tcPr>
            <w:tcW w:w="607" w:type="dxa"/>
          </w:tcPr>
          <w:p w:rsidR="00F85C99" w:rsidRPr="002F6A28" w:rsidP="009E75ED" w14:paraId="638C86A7" w14:textId="77777777">
            <w:pPr>
              <w:spacing w:before="120" w:after="120"/>
              <w:jc w:val="left"/>
              <w:rPr>
                <w:b/>
              </w:rPr>
            </w:pPr>
            <w:r w:rsidRPr="002F6A28">
              <w:rPr>
                <w:b/>
              </w:rPr>
              <w:t>8.</w:t>
            </w:r>
          </w:p>
        </w:tc>
        <w:tc>
          <w:tcPr>
            <w:tcW w:w="8373" w:type="dxa"/>
          </w:tcPr>
          <w:p w:rsidR="000C3B6C" w:rsidRPr="00EC00D2" w:rsidP="007F13E8" w14:paraId="2116B001" w14:textId="77777777">
            <w:pPr>
              <w:spacing w:before="120" w:after="120"/>
              <w:rPr>
                <w:bCs/>
              </w:rPr>
            </w:pPr>
            <w:r w:rsidRPr="002F6A28">
              <w:rPr>
                <w:b/>
              </w:rPr>
              <w:t>Relevant documents:</w:t>
            </w:r>
            <w:r w:rsidRPr="002F6A28" w:rsidR="00EE3A11">
              <w:t xml:space="preserve"> </w:t>
            </w:r>
          </w:p>
          <w:p w:rsidR="00EE3A11" w:rsidRPr="002F6A28" w:rsidP="007F13E8" w14:paraId="7E6AC916" w14:textId="77777777">
            <w:pPr>
              <w:spacing w:before="120" w:after="120"/>
            </w:pPr>
            <w:r w:rsidRPr="002F6A28">
              <w:t>-</w:t>
            </w:r>
          </w:p>
        </w:tc>
      </w:tr>
      <w:tr w14:paraId="459617FC" w14:textId="77777777" w:rsidTr="00DB13FE">
        <w:tblPrEx>
          <w:tblW w:w="5000" w:type="pct"/>
          <w:tblLayout w:type="fixed"/>
          <w:tblLook w:val="0000"/>
        </w:tblPrEx>
        <w:tc>
          <w:tcPr>
            <w:tcW w:w="607" w:type="dxa"/>
          </w:tcPr>
          <w:p w:rsidR="00EE3A11" w:rsidRPr="002F6A28" w:rsidP="002F6A28" w14:paraId="6A599EC6" w14:textId="77777777">
            <w:pPr>
              <w:spacing w:before="120" w:after="120"/>
              <w:jc w:val="left"/>
              <w:rPr>
                <w:b/>
              </w:rPr>
            </w:pPr>
            <w:r w:rsidRPr="002F6A28">
              <w:rPr>
                <w:b/>
              </w:rPr>
              <w:t>9.</w:t>
            </w:r>
          </w:p>
        </w:tc>
        <w:tc>
          <w:tcPr>
            <w:tcW w:w="8373" w:type="dxa"/>
          </w:tcPr>
          <w:p w:rsidR="00EE3A11" w:rsidRPr="002F6A28" w:rsidP="008953C4" w14:paraId="0B2D02C6" w14:textId="77777777">
            <w:pPr>
              <w:spacing w:before="120" w:after="120"/>
            </w:pPr>
            <w:r w:rsidRPr="002F6A28">
              <w:rPr>
                <w:b/>
              </w:rPr>
              <w:t>Proposed date of adoption:</w:t>
            </w:r>
            <w:r w:rsidRPr="00C379C8">
              <w:t xml:space="preserve"> To be determined</w:t>
            </w:r>
          </w:p>
          <w:p w:rsidR="00EE3A11" w:rsidRPr="002F6A28" w:rsidP="008953C4" w14:paraId="58D02E89" w14:textId="77777777">
            <w:pPr>
              <w:spacing w:after="120"/>
            </w:pPr>
            <w:r w:rsidRPr="002F6A28">
              <w:rPr>
                <w:b/>
              </w:rPr>
              <w:t>Proposed date of entry into force:</w:t>
            </w:r>
            <w:r w:rsidRPr="00C379C8">
              <w:t xml:space="preserve"> To be determined</w:t>
            </w:r>
          </w:p>
        </w:tc>
      </w:tr>
      <w:tr w14:paraId="03D34BF7" w14:textId="77777777" w:rsidTr="00DB13FE">
        <w:tblPrEx>
          <w:tblW w:w="5000" w:type="pct"/>
          <w:tblLayout w:type="fixed"/>
          <w:tblLook w:val="0000"/>
        </w:tblPrEx>
        <w:tc>
          <w:tcPr>
            <w:tcW w:w="607" w:type="dxa"/>
            <w:tcBorders>
              <w:bottom w:val="double" w:sz="4" w:space="0" w:color="auto"/>
            </w:tcBorders>
          </w:tcPr>
          <w:p w:rsidR="00F85C99" w:rsidRPr="002F6A28" w:rsidP="002F6A28" w14:paraId="2A22ECB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8DF53D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A9F22A9" w14:textId="77777777">
            <w:pPr>
              <w:spacing w:before="120" w:after="120"/>
              <w:rPr>
                <w:bCs/>
              </w:rPr>
            </w:pPr>
            <w:r w:rsidRPr="002F6A28">
              <w:rPr>
                <w:b/>
              </w:rPr>
              <w:t>Final date for comments:</w:t>
            </w:r>
            <w:r w:rsidRPr="00C379C8" w:rsidR="00EE3A11">
              <w:t xml:space="preserve"> 21 April 2026</w:t>
            </w:r>
          </w:p>
          <w:p w:rsidR="000C3B6C" w:rsidRPr="00E3324D" w:rsidP="000C3B6C" w14:paraId="56018DE7"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4ADAEF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61DD740" w14:textId="77777777">
            <w:r w:rsidRPr="00CE6C29">
              <w:t>Mr. Neil P. Catajay</w:t>
            </w:r>
          </w:p>
          <w:p w:rsidR="00CE6C29" w:rsidRPr="00CE6C29" w:rsidP="000C3B6C" w14:paraId="21D7A1D2" w14:textId="77777777">
            <w:r w:rsidRPr="00CE6C29">
              <w:t>Director</w:t>
            </w:r>
          </w:p>
          <w:p w:rsidR="00CE6C29" w:rsidRPr="00CE6C29" w:rsidP="000C3B6C" w14:paraId="6867BA85" w14:textId="77777777">
            <w:r w:rsidRPr="00CE6C29">
              <w:t>Bureau of Philippine Standards</w:t>
            </w:r>
          </w:p>
          <w:p w:rsidR="00CE6C29" w:rsidRPr="00CE6C29" w:rsidP="000C3B6C" w14:paraId="6E6B7A39" w14:textId="77777777">
            <w:r w:rsidRPr="00CE6C29">
              <w:t>Department of Trade and Industry</w:t>
            </w:r>
          </w:p>
          <w:p w:rsidR="00CE6C29" w:rsidRPr="00CE6C29" w:rsidP="000C3B6C" w14:paraId="2C3CCADA" w14:textId="77777777">
            <w:r w:rsidRPr="00CE6C29">
              <w:t>3F Trade and Industry Building</w:t>
            </w:r>
          </w:p>
          <w:p w:rsidR="00CE6C29" w:rsidRPr="00CE6C29" w:rsidP="000C3B6C" w14:paraId="333EE7A3" w14:textId="77777777">
            <w:r w:rsidRPr="00CE6C29">
              <w:t>361 Sen. Gil Puyat Avenue</w:t>
            </w:r>
          </w:p>
          <w:p w:rsidR="00CE6C29" w:rsidRPr="00CE6C29" w:rsidP="000C3B6C" w14:paraId="0F4914E9" w14:textId="77777777">
            <w:r w:rsidRPr="00CE6C29">
              <w:t>Makati City</w:t>
            </w:r>
          </w:p>
          <w:p w:rsidR="00CE6C29" w:rsidRPr="00CE6C29" w:rsidP="000C3B6C" w14:paraId="01B3E712" w14:textId="77777777">
            <w:r w:rsidRPr="00CE6C29">
              <w:t>Philippines</w:t>
            </w:r>
          </w:p>
          <w:p w:rsidR="00CE6C29" w:rsidRPr="00CE6C29" w:rsidP="000C3B6C" w14:paraId="6DB44865" w14:textId="77777777">
            <w:r w:rsidRPr="00CE6C29">
              <w:t>1200</w:t>
            </w:r>
          </w:p>
          <w:p w:rsidR="00CE6C29" w:rsidRPr="00CE6C29" w:rsidP="000C3B6C" w14:paraId="384A4700" w14:textId="77777777">
            <w:r w:rsidRPr="00CE6C29">
              <w:t>Tel: (632) 7913128</w:t>
            </w:r>
          </w:p>
          <w:p w:rsidR="00CE6C29" w:rsidRPr="00CE6C29" w:rsidP="000C3B6C" w14:paraId="1492A298" w14:textId="77777777">
            <w:r w:rsidRPr="00CE6C29">
              <w:t xml:space="preserve">Email: </w:t>
            </w:r>
            <w:hyperlink r:id="rId8" w:history="1">
              <w:r w:rsidRPr="00CE6C29">
                <w:rPr>
                  <w:color w:val="0000FF"/>
                  <w:u w:val="single"/>
                </w:rPr>
                <w:t>bps@dti.gov.ph</w:t>
              </w:r>
            </w:hyperlink>
          </w:p>
          <w:p w:rsidR="00CE6C29" w:rsidRPr="00CE6C29" w:rsidP="000C3B6C" w14:paraId="587461A8" w14:textId="77777777">
            <w:pPr>
              <w:spacing w:after="120"/>
            </w:pPr>
            <w:r w:rsidRPr="00CE6C29">
              <w:t xml:space="preserve">Website: </w:t>
            </w:r>
            <w:hyperlink r:id="rId9" w:tgtFrame="_blank" w:history="1">
              <w:r w:rsidRPr="00CE6C29">
                <w:rPr>
                  <w:color w:val="0000FF"/>
                  <w:u w:val="single"/>
                </w:rPr>
                <w:t>http://www.bps.dti.gov.ph</w:t>
              </w:r>
            </w:hyperlink>
          </w:p>
        </w:tc>
      </w:tr>
    </w:tbl>
    <w:p w:rsidR="00EE3A11" w:rsidRPr="002F6A28" w:rsidP="00887259" w14:paraId="5C1605B7"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6ACCE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83BFC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BBEDDA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195C77" w14:textId="77777777">
    <w:pPr>
      <w:pStyle w:val="Header"/>
      <w:pBdr>
        <w:bottom w:val="single" w:sz="4" w:space="1" w:color="auto"/>
      </w:pBdr>
      <w:tabs>
        <w:tab w:val="clear" w:pos="4513"/>
        <w:tab w:val="clear" w:pos="9027"/>
      </w:tabs>
      <w:jc w:val="center"/>
    </w:pPr>
    <w:r w:rsidRPr="002F6A28">
      <w:t>tbtSymbol</w:t>
    </w:r>
  </w:p>
  <w:p w:rsidR="009239F7" w:rsidRPr="002F6A28" w:rsidP="009239F7" w14:paraId="0EFD2D6E" w14:textId="77777777">
    <w:pPr>
      <w:pStyle w:val="Header"/>
      <w:pBdr>
        <w:bottom w:val="single" w:sz="4" w:space="1" w:color="auto"/>
      </w:pBdr>
      <w:tabs>
        <w:tab w:val="clear" w:pos="4513"/>
        <w:tab w:val="clear" w:pos="9027"/>
      </w:tabs>
      <w:jc w:val="center"/>
    </w:pPr>
  </w:p>
  <w:p w:rsidR="009239F7" w:rsidRPr="002F6A28" w:rsidP="009239F7" w14:paraId="21C4938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D5C6F3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09C3CD" w14:textId="77777777">
    <w:pPr>
      <w:pStyle w:val="Header"/>
      <w:pBdr>
        <w:bottom w:val="single" w:sz="4" w:space="1" w:color="auto"/>
      </w:pBdr>
      <w:tabs>
        <w:tab w:val="clear" w:pos="4513"/>
        <w:tab w:val="clear" w:pos="9027"/>
      </w:tabs>
      <w:jc w:val="center"/>
    </w:pPr>
    <w:bookmarkStart w:id="0" w:name="spsSymbolHeader"/>
    <w:r w:rsidRPr="002F6A28">
      <w:t>G/TBT/N/PHL/356</w:t>
    </w:r>
    <w:bookmarkEnd w:id="0"/>
  </w:p>
  <w:p w:rsidR="009239F7" w:rsidRPr="002F6A28" w:rsidP="009239F7" w14:paraId="5FA944BF" w14:textId="77777777">
    <w:pPr>
      <w:pStyle w:val="Header"/>
      <w:pBdr>
        <w:bottom w:val="single" w:sz="4" w:space="1" w:color="auto"/>
      </w:pBdr>
      <w:tabs>
        <w:tab w:val="clear" w:pos="4513"/>
        <w:tab w:val="clear" w:pos="9027"/>
      </w:tabs>
      <w:jc w:val="center"/>
    </w:pPr>
  </w:p>
  <w:p w:rsidR="009239F7" w:rsidRPr="002F6A28" w:rsidP="009239F7" w14:paraId="7BBF32D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10E720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66028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3328CD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5513B8B" w14:textId="77777777">
          <w:pPr>
            <w:jc w:val="right"/>
            <w:rPr>
              <w:b/>
              <w:color w:val="FF0000"/>
              <w:szCs w:val="16"/>
            </w:rPr>
          </w:pPr>
        </w:p>
      </w:tc>
    </w:tr>
    <w:bookmarkEnd w:id="1"/>
    <w:tr w14:paraId="6040D5B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C7B2C3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C5BFE8B" w14:textId="77777777">
          <w:pPr>
            <w:jc w:val="right"/>
            <w:rPr>
              <w:b/>
              <w:szCs w:val="16"/>
            </w:rPr>
          </w:pPr>
        </w:p>
      </w:tc>
    </w:tr>
    <w:tr w14:paraId="1C4B0E5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252ADC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8E2B51E" w14:textId="77777777">
          <w:pPr>
            <w:jc w:val="right"/>
            <w:rPr>
              <w:b/>
              <w:szCs w:val="16"/>
            </w:rPr>
          </w:pPr>
          <w:bookmarkStart w:id="2" w:name="bmkSymbols"/>
          <w:r w:rsidRPr="002F6A28">
            <w:rPr>
              <w:b/>
              <w:szCs w:val="16"/>
            </w:rPr>
            <w:t>G/TBT/N/PHL/356</w:t>
          </w:r>
          <w:bookmarkEnd w:id="2"/>
        </w:p>
      </w:tc>
    </w:tr>
    <w:tr w14:paraId="2D37C57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6724CFE" w14:textId="77777777"/>
      </w:tc>
      <w:tc>
        <w:tcPr>
          <w:tcW w:w="5448" w:type="dxa"/>
          <w:gridSpan w:val="2"/>
          <w:shd w:val="clear" w:color="auto" w:fill="FFFFFF"/>
          <w:tcMar>
            <w:left w:w="108" w:type="dxa"/>
            <w:right w:w="108" w:type="dxa"/>
          </w:tcMar>
          <w:vAlign w:val="center"/>
        </w:tcPr>
        <w:p w:rsidR="00ED54E0" w:rsidRPr="009239F7" w:rsidP="00B801E9" w14:paraId="6A006BE3" w14:textId="77777777">
          <w:pPr>
            <w:jc w:val="right"/>
            <w:rPr>
              <w:szCs w:val="16"/>
            </w:rPr>
          </w:pPr>
          <w:bookmarkStart w:id="3" w:name="spsDateDistribution"/>
          <w:bookmarkStart w:id="4" w:name="bmkDate"/>
          <w:r w:rsidRPr="009239F7">
            <w:rPr>
              <w:szCs w:val="16"/>
            </w:rPr>
            <w:t>20 February 2026</w:t>
          </w:r>
          <w:bookmarkEnd w:id="3"/>
          <w:bookmarkEnd w:id="4"/>
        </w:p>
      </w:tc>
    </w:tr>
    <w:tr w14:paraId="5AF1043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F9F7CE9" w14:textId="77777777">
          <w:pPr>
            <w:jc w:val="left"/>
            <w:rPr>
              <w:b/>
            </w:rPr>
          </w:pPr>
          <w:bookmarkStart w:id="5" w:name="bmkSerial"/>
          <w:r>
            <w:rPr>
              <w:rFonts w:ascii="Verdana" w:eastAsia="Verdana" w:hAnsi="Verdana" w:cs="Verdana"/>
              <w:b w:val="0"/>
              <w:color w:val="FF0000"/>
              <w:sz w:val="18"/>
            </w:rPr>
            <w:t>(26-1213)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487DB3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96FB5C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B3BF09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589FB0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D9D47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3450023">
    <w:abstractNumId w:val="9"/>
  </w:num>
  <w:num w:numId="2" w16cid:durableId="1851555037">
    <w:abstractNumId w:val="7"/>
  </w:num>
  <w:num w:numId="3" w16cid:durableId="10306530">
    <w:abstractNumId w:val="6"/>
  </w:num>
  <w:num w:numId="4" w16cid:durableId="1729843649">
    <w:abstractNumId w:val="5"/>
  </w:num>
  <w:num w:numId="5" w16cid:durableId="964887895">
    <w:abstractNumId w:val="4"/>
  </w:num>
  <w:num w:numId="6" w16cid:durableId="1705671446">
    <w:abstractNumId w:val="12"/>
  </w:num>
  <w:num w:numId="7" w16cid:durableId="373581365">
    <w:abstractNumId w:val="11"/>
  </w:num>
  <w:num w:numId="8" w16cid:durableId="964048202">
    <w:abstractNumId w:val="10"/>
  </w:num>
  <w:num w:numId="9" w16cid:durableId="1370446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0025393">
    <w:abstractNumId w:val="13"/>
  </w:num>
  <w:num w:numId="11" w16cid:durableId="1624265256">
    <w:abstractNumId w:val="8"/>
  </w:num>
  <w:num w:numId="12" w16cid:durableId="1010446376">
    <w:abstractNumId w:val="3"/>
  </w:num>
  <w:num w:numId="13" w16cid:durableId="1905262952">
    <w:abstractNumId w:val="2"/>
  </w:num>
  <w:num w:numId="14" w16cid:durableId="1088426656">
    <w:abstractNumId w:val="1"/>
  </w:num>
  <w:num w:numId="15" w16cid:durableId="117381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07C3"/>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0752"/>
    <w:rsid w:val="00725DF8"/>
    <w:rsid w:val="00730370"/>
    <w:rsid w:val="00736D06"/>
    <w:rsid w:val="00745146"/>
    <w:rsid w:val="00756BA6"/>
    <w:rsid w:val="007577E3"/>
    <w:rsid w:val="00760DB3"/>
    <w:rsid w:val="0076175E"/>
    <w:rsid w:val="007624E8"/>
    <w:rsid w:val="00796783"/>
    <w:rsid w:val="007A6CE2"/>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D5E16"/>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076EB"/>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F4C59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PHL/26_01021_00_e.pdf" TargetMode="External" /><Relationship Id="rId7" Type="http://schemas.openxmlformats.org/officeDocument/2006/relationships/hyperlink" Target="mailto:ojolaurenana@fda.gov.ph" TargetMode="External" /><Relationship Id="rId8" Type="http://schemas.openxmlformats.org/officeDocument/2006/relationships/hyperlink" Target="mailto:BPS@dti.gov.ph" TargetMode="External" /><Relationship Id="rId9" Type="http://schemas.openxmlformats.org/officeDocument/2006/relationships/hyperlink" Target="http://www.bps.dti.gov.p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FEEEDD31-BECF-4F20-8FFC-48A2EFB8A1D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2026-02-20T10:03:00Z</dcterms:created>
  <dcterms:modified xsi:type="dcterms:W3CDTF">2026-02-20T10:07:00Z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