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C562FE1" w14:textId="77777777">
      <w:pPr>
        <w:pStyle w:val="Title"/>
        <w:rPr>
          <w:caps w:val="0"/>
          <w:kern w:val="0"/>
        </w:rPr>
      </w:pPr>
      <w:r w:rsidRPr="002F6A28">
        <w:rPr>
          <w:caps w:val="0"/>
          <w:kern w:val="0"/>
        </w:rPr>
        <w:t>NOTIFICATION</w:t>
      </w:r>
    </w:p>
    <w:p w:rsidR="009239F7" w:rsidRPr="002F6A28" w:rsidP="002F6A28" w14:paraId="01778869" w14:textId="77777777">
      <w:pPr>
        <w:jc w:val="center"/>
      </w:pPr>
      <w:r w:rsidRPr="002F6A28">
        <w:t>The following notification is being circulated in accordance with Article 10.6</w:t>
      </w:r>
    </w:p>
    <w:p w:rsidR="009239F7" w:rsidRPr="002F6A28" w:rsidP="002F6A28" w14:paraId="61B8C41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8770679" w14:textId="77777777" w:rsidTr="00DB13FE">
        <w:tblPrEx>
          <w:tblW w:w="5000" w:type="pct"/>
          <w:tblLayout w:type="fixed"/>
          <w:tblLook w:val="0000"/>
        </w:tblPrEx>
        <w:tc>
          <w:tcPr>
            <w:tcW w:w="607" w:type="dxa"/>
            <w:tcBorders>
              <w:top w:val="double" w:sz="4" w:space="0" w:color="auto"/>
            </w:tcBorders>
          </w:tcPr>
          <w:p w:rsidR="00F85C99" w:rsidRPr="002F6A28" w:rsidP="002F6A28" w14:paraId="0846823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3FD51B8"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7834B0F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1CA7DFA" w14:textId="77777777" w:rsidTr="00DB13FE">
        <w:tblPrEx>
          <w:tblW w:w="5000" w:type="pct"/>
          <w:tblLayout w:type="fixed"/>
          <w:tblLook w:val="0000"/>
        </w:tblPrEx>
        <w:tc>
          <w:tcPr>
            <w:tcW w:w="607" w:type="dxa"/>
          </w:tcPr>
          <w:p w:rsidR="00F85C99" w:rsidRPr="002F6A28" w:rsidP="002F6A28" w14:paraId="29400FB9" w14:textId="77777777">
            <w:pPr>
              <w:spacing w:before="120" w:after="120"/>
              <w:jc w:val="left"/>
            </w:pPr>
            <w:r w:rsidRPr="002F6A28">
              <w:rPr>
                <w:b/>
              </w:rPr>
              <w:t>2.</w:t>
            </w:r>
          </w:p>
        </w:tc>
        <w:tc>
          <w:tcPr>
            <w:tcW w:w="8373" w:type="dxa"/>
          </w:tcPr>
          <w:p w:rsidR="00F85C99" w:rsidRPr="002F6A28" w:rsidP="000C3B6C" w14:paraId="19A7F5CA" w14:textId="77777777">
            <w:pPr>
              <w:spacing w:before="120" w:after="120"/>
            </w:pPr>
            <w:r w:rsidRPr="002F6A28">
              <w:rPr>
                <w:b/>
              </w:rPr>
              <w:t>Agency responsible:</w:t>
            </w:r>
            <w:r w:rsidRPr="00C379C8" w:rsidR="00EE3A11">
              <w:t xml:space="preserve"> </w:t>
            </w:r>
          </w:p>
          <w:p w:rsidR="00EE3A11" w:rsidRPr="00C379C8" w:rsidP="000C3B6C" w14:paraId="5B8D0818" w14:textId="77777777">
            <w:r w:rsidRPr="00C379C8">
              <w:t>European Commission</w:t>
            </w:r>
          </w:p>
          <w:p w:rsidR="00EE3A11" w:rsidRPr="00C379C8" w:rsidP="000C3B6C" w14:paraId="4C7C6605" w14:textId="77777777">
            <w:r w:rsidRPr="00C379C8">
              <w:t>EU-TBT Enquiry Point,</w:t>
            </w:r>
          </w:p>
          <w:p w:rsidR="00EE3A11" w:rsidRPr="00C379C8" w:rsidP="000C3B6C" w14:paraId="5B62BDD5" w14:textId="77777777">
            <w:r w:rsidRPr="00C379C8">
              <w:t>Fax: +(32) 2 299 80 43,</w:t>
            </w:r>
          </w:p>
          <w:p w:rsidR="00EE3A11" w:rsidRPr="00C379C8" w:rsidP="000C3B6C" w14:paraId="7619836B" w14:textId="77777777">
            <w:r w:rsidRPr="00C379C8">
              <w:t xml:space="preserve">E-mail: </w:t>
            </w:r>
            <w:hyperlink r:id="rId5" w:history="1">
              <w:r w:rsidRPr="00C379C8">
                <w:rPr>
                  <w:color w:val="0000FF"/>
                  <w:u w:val="single"/>
                </w:rPr>
                <w:t>grow-eu-tbt@ec.europa.eu</w:t>
              </w:r>
            </w:hyperlink>
          </w:p>
          <w:p w:rsidR="00EE3A11" w:rsidRPr="00C379C8" w:rsidP="000C3B6C" w14:paraId="4BD3A76A"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0E406594" w14:textId="77777777" w:rsidTr="00DB13FE">
        <w:tblPrEx>
          <w:tblW w:w="5000" w:type="pct"/>
          <w:tblLayout w:type="fixed"/>
          <w:tblLook w:val="0000"/>
        </w:tblPrEx>
        <w:tc>
          <w:tcPr>
            <w:tcW w:w="607" w:type="dxa"/>
          </w:tcPr>
          <w:p w:rsidR="00F85C99" w:rsidRPr="002F6A28" w:rsidP="002F6A28" w14:paraId="204FABF3" w14:textId="77777777">
            <w:pPr>
              <w:spacing w:before="120" w:after="120"/>
              <w:jc w:val="left"/>
              <w:rPr>
                <w:b/>
              </w:rPr>
            </w:pPr>
            <w:r w:rsidRPr="002F6A28">
              <w:rPr>
                <w:b/>
              </w:rPr>
              <w:t>3.</w:t>
            </w:r>
          </w:p>
        </w:tc>
        <w:tc>
          <w:tcPr>
            <w:tcW w:w="8373" w:type="dxa"/>
          </w:tcPr>
          <w:p w:rsidR="00F85C99" w:rsidRPr="0058336F" w:rsidP="002F6A28" w14:paraId="2B8451B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C471E96" w14:textId="77777777" w:rsidTr="00DB13FE">
        <w:tblPrEx>
          <w:tblW w:w="5000" w:type="pct"/>
          <w:tblLayout w:type="fixed"/>
          <w:tblLook w:val="0000"/>
        </w:tblPrEx>
        <w:tc>
          <w:tcPr>
            <w:tcW w:w="607" w:type="dxa"/>
          </w:tcPr>
          <w:p w:rsidR="00F85C99" w:rsidRPr="002F6A28" w:rsidP="002F6A28" w14:paraId="57858ECB" w14:textId="77777777">
            <w:pPr>
              <w:spacing w:before="120" w:after="120"/>
              <w:jc w:val="left"/>
            </w:pPr>
            <w:r w:rsidRPr="002F6A28">
              <w:rPr>
                <w:b/>
              </w:rPr>
              <w:t>4.</w:t>
            </w:r>
          </w:p>
        </w:tc>
        <w:tc>
          <w:tcPr>
            <w:tcW w:w="8373" w:type="dxa"/>
          </w:tcPr>
          <w:p w:rsidR="00F85C99" w:rsidRPr="002F6A28" w:rsidP="002F6A28" w14:paraId="39C3EC2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Drug precursors</w:t>
            </w:r>
          </w:p>
        </w:tc>
      </w:tr>
      <w:tr w14:paraId="0877F1C5" w14:textId="77777777" w:rsidTr="00DB13FE">
        <w:tblPrEx>
          <w:tblW w:w="5000" w:type="pct"/>
          <w:tblLayout w:type="fixed"/>
          <w:tblLook w:val="0000"/>
        </w:tblPrEx>
        <w:tc>
          <w:tcPr>
            <w:tcW w:w="607" w:type="dxa"/>
          </w:tcPr>
          <w:p w:rsidR="00F85C99" w:rsidRPr="002F6A28" w:rsidP="002F6A28" w14:paraId="3F6D1D7C" w14:textId="77777777">
            <w:pPr>
              <w:spacing w:before="120" w:after="120"/>
              <w:jc w:val="left"/>
            </w:pPr>
            <w:r w:rsidRPr="002F6A28">
              <w:rPr>
                <w:b/>
              </w:rPr>
              <w:t>5.</w:t>
            </w:r>
          </w:p>
        </w:tc>
        <w:tc>
          <w:tcPr>
            <w:tcW w:w="8373" w:type="dxa"/>
          </w:tcPr>
          <w:p w:rsidR="00F85C99" w:rsidP="002F6A28" w14:paraId="5810F25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Proposal for a Regulation of the European Parliament and the Council on monitoring and controlling drug precursors and repealing Regulations (EC) No 273/2004 and (EC) No 111/2005</w:t>
            </w:r>
          </w:p>
          <w:p w:rsidR="00EE3A11" w:rsidRPr="00C379C8" w:rsidP="002F6A28" w14:paraId="1D2DDAB6" w14:textId="77777777">
            <w:pPr>
              <w:spacing w:before="120" w:after="120"/>
            </w:pPr>
            <w:hyperlink r:id="rId7" w:history="1">
              <w:r w:rsidRPr="00C379C8">
                <w:rPr>
                  <w:color w:val="0000FF"/>
                  <w:u w:val="single"/>
                </w:rPr>
                <w:t>EUR-Lex - 52025PC0747 - EN - EUR-Lex</w:t>
              </w:r>
            </w:hyperlink>
            <w:r w:rsidRPr="00C379C8" w:rsidR="00626552">
              <w:t>; (102 page(s), in English), (56 page(s), in English)</w:t>
            </w:r>
          </w:p>
          <w:p w:rsidR="000C3B6C" w:rsidRPr="000C3B6C" w:rsidP="002F6A28" w14:paraId="032C293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545C6" w:rsidRPr="00CE6C29" w:rsidP="002F6A28" w14:paraId="50353C07" w14:textId="77777777">
            <w:pPr>
              <w:pBdr>
                <w:top w:val="none" w:sz="0" w:space="4" w:color="auto"/>
              </w:pBdr>
              <w:rPr>
                <w:iCs/>
              </w:rPr>
            </w:pPr>
            <w:hyperlink r:id="rId8" w:tgtFrame="_blank" w:history="1">
              <w:r w:rsidRPr="00CE6C29">
                <w:rPr>
                  <w:iCs/>
                  <w:color w:val="0000FF"/>
                  <w:u w:val="single"/>
                </w:rPr>
                <w:t>https://members.wto.org/crnattachments/2026/TBT/EEC/26_01005_00_e.pdf</w:t>
              </w:r>
            </w:hyperlink>
          </w:p>
          <w:p w:rsidR="005545C6" w:rsidRPr="00CE6C29" w:rsidP="002F6A28" w14:paraId="254CC2B8" w14:textId="77777777">
            <w:pPr>
              <w:pBdr>
                <w:bottom w:val="none" w:sz="0" w:space="4" w:color="auto"/>
              </w:pBdr>
              <w:rPr>
                <w:iCs/>
              </w:rPr>
            </w:pPr>
            <w:hyperlink r:id="rId9" w:tgtFrame="_blank" w:history="1">
              <w:r w:rsidRPr="00CE6C29">
                <w:rPr>
                  <w:iCs/>
                  <w:color w:val="0000FF"/>
                  <w:u w:val="single"/>
                </w:rPr>
                <w:t>https://members.wto.org/crnattachments/2026/TBT/EEC/26_01005_01_e.pdf</w:t>
              </w:r>
            </w:hyperlink>
          </w:p>
          <w:p w:rsidR="005545C6" w:rsidRPr="00CE6C29" w:rsidP="002F6A28" w14:paraId="0CD6E616" w14:textId="77777777">
            <w:pPr>
              <w:rPr>
                <w:iCs/>
              </w:rPr>
            </w:pPr>
            <w:r w:rsidRPr="00CE6C29">
              <w:rPr>
                <w:iCs/>
              </w:rPr>
              <w:t>European Commission</w:t>
            </w:r>
          </w:p>
          <w:p w:rsidR="005545C6" w:rsidRPr="00CE6C29" w:rsidP="002F6A28" w14:paraId="2B459A48" w14:textId="77777777">
            <w:pPr>
              <w:rPr>
                <w:iCs/>
              </w:rPr>
            </w:pPr>
            <w:r w:rsidRPr="00CE6C29">
              <w:rPr>
                <w:iCs/>
              </w:rPr>
              <w:t>EU-TBT Enquiry Point</w:t>
            </w:r>
          </w:p>
          <w:p w:rsidR="005545C6" w:rsidRPr="00CE6C29" w:rsidP="002F6A28" w14:paraId="283C9027" w14:textId="77777777">
            <w:pPr>
              <w:rPr>
                <w:iCs/>
              </w:rPr>
            </w:pPr>
            <w:r w:rsidRPr="00CE6C29">
              <w:rPr>
                <w:iCs/>
              </w:rPr>
              <w:t>Fax: + (32) 2 299 80 43</w:t>
            </w:r>
          </w:p>
          <w:p w:rsidR="005545C6" w:rsidRPr="00CE6C29" w:rsidP="002F6A28" w14:paraId="3672F366" w14:textId="77777777">
            <w:pPr>
              <w:rPr>
                <w:iCs/>
              </w:rPr>
            </w:pPr>
            <w:r w:rsidRPr="00CE6C29">
              <w:rPr>
                <w:iCs/>
              </w:rPr>
              <w:t xml:space="preserve">E-mail: </w:t>
            </w:r>
            <w:hyperlink r:id="rId5" w:history="1">
              <w:r w:rsidRPr="00CE6C29">
                <w:rPr>
                  <w:iCs/>
                  <w:color w:val="0000FF"/>
                  <w:u w:val="single"/>
                </w:rPr>
                <w:t>grow-eu-tbt@ec.europa.eu</w:t>
              </w:r>
            </w:hyperlink>
          </w:p>
          <w:p w:rsidR="005545C6" w:rsidRPr="00CE6C29" w:rsidP="002F6A28" w14:paraId="72F0519D"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51522608" w14:textId="77777777" w:rsidTr="00DB13FE">
        <w:tblPrEx>
          <w:tblW w:w="5000" w:type="pct"/>
          <w:tblLayout w:type="fixed"/>
          <w:tblLook w:val="0000"/>
        </w:tblPrEx>
        <w:tc>
          <w:tcPr>
            <w:tcW w:w="607" w:type="dxa"/>
          </w:tcPr>
          <w:p w:rsidR="00F85C99" w:rsidRPr="002F6A28" w:rsidP="002F6A28" w14:paraId="7C82BE3F" w14:textId="77777777">
            <w:pPr>
              <w:spacing w:before="120" w:after="120"/>
              <w:jc w:val="left"/>
              <w:rPr>
                <w:b/>
              </w:rPr>
            </w:pPr>
            <w:r w:rsidRPr="002F6A28">
              <w:rPr>
                <w:b/>
              </w:rPr>
              <w:t>6.</w:t>
            </w:r>
          </w:p>
        </w:tc>
        <w:tc>
          <w:tcPr>
            <w:tcW w:w="8373" w:type="dxa"/>
          </w:tcPr>
          <w:p w:rsidR="00F85C99" w:rsidRPr="002F6A28" w:rsidP="002F6A28" w14:paraId="3EC9731E" w14:textId="77777777">
            <w:pPr>
              <w:spacing w:before="120" w:after="120"/>
              <w:rPr>
                <w:b/>
              </w:rPr>
            </w:pPr>
            <w:r w:rsidRPr="002F6A28">
              <w:rPr>
                <w:b/>
              </w:rPr>
              <w:t>Description of content:</w:t>
            </w:r>
            <w:r w:rsidRPr="00C379C8" w:rsidR="00FE448B">
              <w:t xml:space="preserve"> The new rules will implement Article 12 of the United Nations Convention against Illicit Traffic in Narcotic Drugs and Psychotropic Substances, adopted in Vienna on 19 December 1988. They will replace two existing Regulations (Regulation (EC) No 273/2004 on drug precursors for internal market and Regulation (EC) No 111/2005 on trade between EU Member States and third countries). The new rules will simplify and streamline the existing rules and will introduce a new category of precursors – designer precursors, with specific obligations attached for operators. Designer precursors are substances with no known legitimate uses except research and innovation, close chemical relatives of precursors with legitimate uses already placed under control. The trade and use of such precursors will be subject to a prior-notification or a licence, depending on the quantities needed or purpose of the transaction or use (research and innovation or other </w:t>
            </w:r>
            <w:r w:rsidRPr="00C379C8" w:rsidR="00FE448B">
              <w:t>legitimate purpose). The new rules will also set the legal basis for a centralised electronic system which will support the digitisation of all formalities required therein.</w:t>
            </w:r>
          </w:p>
        </w:tc>
      </w:tr>
      <w:tr w14:paraId="2F64D353" w14:textId="77777777" w:rsidTr="00DB13FE">
        <w:tblPrEx>
          <w:tblW w:w="5000" w:type="pct"/>
          <w:tblLayout w:type="fixed"/>
          <w:tblLook w:val="0000"/>
        </w:tblPrEx>
        <w:tc>
          <w:tcPr>
            <w:tcW w:w="607" w:type="dxa"/>
          </w:tcPr>
          <w:p w:rsidR="00F85C99" w:rsidRPr="002F6A28" w:rsidP="002F6A28" w14:paraId="5789DC78" w14:textId="77777777">
            <w:pPr>
              <w:spacing w:before="120" w:after="120"/>
              <w:jc w:val="left"/>
              <w:rPr>
                <w:b/>
              </w:rPr>
            </w:pPr>
            <w:r w:rsidRPr="002F6A28">
              <w:rPr>
                <w:b/>
              </w:rPr>
              <w:t>7.</w:t>
            </w:r>
          </w:p>
        </w:tc>
        <w:tc>
          <w:tcPr>
            <w:tcW w:w="8373" w:type="dxa"/>
          </w:tcPr>
          <w:p w:rsidR="00F85C99" w:rsidRPr="002F6A28" w:rsidP="002F6A28" w14:paraId="5EDBC015" w14:textId="77777777">
            <w:pPr>
              <w:spacing w:before="120" w:after="120"/>
              <w:rPr>
                <w:b/>
              </w:rPr>
            </w:pPr>
            <w:r w:rsidRPr="002F6A28">
              <w:rPr>
                <w:b/>
              </w:rPr>
              <w:t>Objective and rationale, including the nature of urgent problems where applicable:</w:t>
            </w:r>
            <w:r w:rsidRPr="00C379C8" w:rsidR="00EE3A11">
              <w:t xml:space="preserve"> the proposal is based on two general objectives: reducing the availability of drug precursors for the illicit manufacture of drugs and facilitate the legitimate trade and use of drug precursors. The proposal strikes a fair balance between the need to reinforce controls of drug precursors to avoid their diversion towards illicit channels and the need not to place an unreasonable burden on the chemical industry, including research and innovation.; National security requirements; Harmonization; Reducing trade barriers and facilitating trade</w:t>
            </w:r>
          </w:p>
        </w:tc>
      </w:tr>
      <w:tr w14:paraId="47A8994E" w14:textId="77777777" w:rsidTr="00DB13FE">
        <w:tblPrEx>
          <w:tblW w:w="5000" w:type="pct"/>
          <w:tblLayout w:type="fixed"/>
          <w:tblLook w:val="0000"/>
        </w:tblPrEx>
        <w:tc>
          <w:tcPr>
            <w:tcW w:w="607" w:type="dxa"/>
          </w:tcPr>
          <w:p w:rsidR="00F85C99" w:rsidRPr="002F6A28" w:rsidP="009E75ED" w14:paraId="4A0BEDFE" w14:textId="77777777">
            <w:pPr>
              <w:spacing w:before="120" w:after="120"/>
              <w:jc w:val="left"/>
              <w:rPr>
                <w:b/>
              </w:rPr>
            </w:pPr>
            <w:r w:rsidRPr="002F6A28">
              <w:rPr>
                <w:b/>
              </w:rPr>
              <w:t>8.</w:t>
            </w:r>
          </w:p>
        </w:tc>
        <w:tc>
          <w:tcPr>
            <w:tcW w:w="8373" w:type="dxa"/>
          </w:tcPr>
          <w:p w:rsidR="000C3B6C" w:rsidRPr="00EC00D2" w:rsidP="007F13E8" w14:paraId="46B6171E" w14:textId="77777777">
            <w:pPr>
              <w:spacing w:before="120" w:after="120"/>
              <w:rPr>
                <w:bCs/>
              </w:rPr>
            </w:pPr>
            <w:r w:rsidRPr="002F6A28">
              <w:rPr>
                <w:b/>
              </w:rPr>
              <w:t>Relevant documents:</w:t>
            </w:r>
            <w:r w:rsidRPr="002F6A28" w:rsidR="00EE3A11">
              <w:t xml:space="preserve"> </w:t>
            </w:r>
          </w:p>
          <w:p w:rsidR="00EE3A11" w:rsidRPr="002F6A28" w:rsidP="007F13E8" w14:paraId="52A1BEAD" w14:textId="77777777">
            <w:pPr>
              <w:numPr>
                <w:ilvl w:val="0"/>
                <w:numId w:val="16"/>
              </w:numPr>
              <w:spacing w:before="120" w:after="120"/>
            </w:pPr>
            <w:r w:rsidRPr="002F6A28">
              <w:t>Proposal of a Regulation of the European Parliament and the Council on controlling and monitoring of drug precursors and repealing Regulations (EC) No 273/2004 and (EC) No 111/2005, with 10 Annexes</w:t>
            </w:r>
          </w:p>
          <w:p w:rsidR="00EE3A11" w:rsidRPr="002F6A28" w:rsidP="007F13E8" w14:paraId="221CD874" w14:textId="77777777">
            <w:pPr>
              <w:numPr>
                <w:ilvl w:val="0"/>
                <w:numId w:val="16"/>
              </w:numPr>
              <w:spacing w:before="120" w:after="120"/>
            </w:pPr>
            <w:r w:rsidRPr="002F6A28">
              <w:t>Impact assessment supporting the proposal</w:t>
            </w:r>
          </w:p>
        </w:tc>
      </w:tr>
      <w:tr w14:paraId="4EADBC41" w14:textId="77777777" w:rsidTr="00DB13FE">
        <w:tblPrEx>
          <w:tblW w:w="5000" w:type="pct"/>
          <w:tblLayout w:type="fixed"/>
          <w:tblLook w:val="0000"/>
        </w:tblPrEx>
        <w:tc>
          <w:tcPr>
            <w:tcW w:w="607" w:type="dxa"/>
          </w:tcPr>
          <w:p w:rsidR="00EE3A11" w:rsidRPr="002F6A28" w:rsidP="002F6A28" w14:paraId="2A0E23E6" w14:textId="77777777">
            <w:pPr>
              <w:spacing w:before="120" w:after="120"/>
              <w:jc w:val="left"/>
              <w:rPr>
                <w:b/>
              </w:rPr>
            </w:pPr>
            <w:r w:rsidRPr="002F6A28">
              <w:rPr>
                <w:b/>
              </w:rPr>
              <w:t>9.</w:t>
            </w:r>
          </w:p>
        </w:tc>
        <w:tc>
          <w:tcPr>
            <w:tcW w:w="8373" w:type="dxa"/>
          </w:tcPr>
          <w:p w:rsidR="00EE3A11" w:rsidRPr="002F6A28" w:rsidP="008953C4" w14:paraId="7B83EADE" w14:textId="77777777">
            <w:pPr>
              <w:spacing w:before="120" w:after="120"/>
            </w:pPr>
            <w:r w:rsidRPr="002F6A28">
              <w:rPr>
                <w:b/>
              </w:rPr>
              <w:t>Proposed date of adoption:</w:t>
            </w:r>
            <w:r w:rsidRPr="00C379C8">
              <w:t xml:space="preserve"> N/A</w:t>
            </w:r>
          </w:p>
          <w:p w:rsidR="00EE3A11" w:rsidRPr="002F6A28" w:rsidP="008953C4" w14:paraId="0ED64F52" w14:textId="77777777">
            <w:pPr>
              <w:spacing w:after="120"/>
            </w:pPr>
            <w:r w:rsidRPr="002F6A28">
              <w:rPr>
                <w:b/>
              </w:rPr>
              <w:t>Proposed date of entry into force:</w:t>
            </w:r>
            <w:r w:rsidRPr="00C379C8">
              <w:t xml:space="preserve"> 20 days after publication in the Official Journal of the European Union, with an application date deferred by at least two years.</w:t>
            </w:r>
          </w:p>
        </w:tc>
      </w:tr>
      <w:tr w14:paraId="54CA446F" w14:textId="77777777" w:rsidTr="00DB13FE">
        <w:tblPrEx>
          <w:tblW w:w="5000" w:type="pct"/>
          <w:tblLayout w:type="fixed"/>
          <w:tblLook w:val="0000"/>
        </w:tblPrEx>
        <w:tc>
          <w:tcPr>
            <w:tcW w:w="607" w:type="dxa"/>
            <w:tcBorders>
              <w:bottom w:val="double" w:sz="4" w:space="0" w:color="auto"/>
            </w:tcBorders>
          </w:tcPr>
          <w:p w:rsidR="00F85C99" w:rsidRPr="002F6A28" w:rsidP="002F6A28" w14:paraId="7A1BDDA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A1454C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904ED73" w14:textId="77777777">
            <w:pPr>
              <w:spacing w:before="120" w:after="120"/>
              <w:rPr>
                <w:bCs/>
              </w:rPr>
            </w:pPr>
            <w:r w:rsidRPr="002F6A28">
              <w:rPr>
                <w:b/>
              </w:rPr>
              <w:t>Final date for comments:</w:t>
            </w:r>
            <w:r w:rsidRPr="00C379C8" w:rsidR="00EE3A11">
              <w:t xml:space="preserve"> 21 May 2026 (90 days from notification)</w:t>
            </w:r>
          </w:p>
          <w:p w:rsidR="000C3B6C" w:rsidRPr="00E3324D" w:rsidP="000C3B6C" w14:paraId="6D160D1F"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02024EE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D98E7E1" w14:textId="77777777">
            <w:r w:rsidRPr="00CE6C29">
              <w:t>European Commission,</w:t>
            </w:r>
          </w:p>
          <w:p w:rsidR="00CE6C29" w:rsidRPr="00CE6C29" w:rsidP="000C3B6C" w14:paraId="5E0469EC" w14:textId="77777777">
            <w:r w:rsidRPr="00CE6C29">
              <w:t>EU-TBT Enquiry Point,</w:t>
            </w:r>
          </w:p>
          <w:p w:rsidR="00CE6C29" w:rsidRPr="00CE6C29" w:rsidP="000C3B6C" w14:paraId="6A6062A4" w14:textId="77777777">
            <w:r w:rsidRPr="00CE6C29">
              <w:t>Fax: + (32) 2 299 80 43,</w:t>
            </w:r>
          </w:p>
          <w:p w:rsidR="00CE6C29" w:rsidRPr="00CE6C29" w:rsidP="000C3B6C" w14:paraId="0EB51A9A"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6EB042E5"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8A862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9426F7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CF1F7C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C94244" w14:textId="77777777">
    <w:pPr>
      <w:pStyle w:val="Header"/>
      <w:pBdr>
        <w:bottom w:val="single" w:sz="4" w:space="1" w:color="auto"/>
      </w:pBdr>
      <w:tabs>
        <w:tab w:val="clear" w:pos="4513"/>
        <w:tab w:val="clear" w:pos="9027"/>
      </w:tabs>
      <w:jc w:val="center"/>
    </w:pPr>
    <w:r w:rsidRPr="002F6A28">
      <w:t>tbtSymbol</w:t>
    </w:r>
  </w:p>
  <w:p w:rsidR="009239F7" w:rsidRPr="002F6A28" w:rsidP="009239F7" w14:paraId="6DFFEA51" w14:textId="77777777">
    <w:pPr>
      <w:pStyle w:val="Header"/>
      <w:pBdr>
        <w:bottom w:val="single" w:sz="4" w:space="1" w:color="auto"/>
      </w:pBdr>
      <w:tabs>
        <w:tab w:val="clear" w:pos="4513"/>
        <w:tab w:val="clear" w:pos="9027"/>
      </w:tabs>
      <w:jc w:val="center"/>
    </w:pPr>
  </w:p>
  <w:p w:rsidR="009239F7" w:rsidRPr="002F6A28" w:rsidP="009239F7" w14:paraId="0DCD076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DA2F74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257E08" w14:textId="77777777">
    <w:pPr>
      <w:pStyle w:val="Header"/>
      <w:pBdr>
        <w:bottom w:val="single" w:sz="4" w:space="1" w:color="auto"/>
      </w:pBdr>
      <w:tabs>
        <w:tab w:val="clear" w:pos="4513"/>
        <w:tab w:val="clear" w:pos="9027"/>
      </w:tabs>
      <w:jc w:val="center"/>
    </w:pPr>
    <w:bookmarkStart w:id="0" w:name="spsSymbolHeader"/>
    <w:r w:rsidRPr="002F6A28">
      <w:t>G/TBT/N/EU/1192</w:t>
    </w:r>
    <w:bookmarkEnd w:id="0"/>
  </w:p>
  <w:p w:rsidR="009239F7" w:rsidRPr="002F6A28" w:rsidP="009239F7" w14:paraId="1C60C470" w14:textId="77777777">
    <w:pPr>
      <w:pStyle w:val="Header"/>
      <w:pBdr>
        <w:bottom w:val="single" w:sz="4" w:space="1" w:color="auto"/>
      </w:pBdr>
      <w:tabs>
        <w:tab w:val="clear" w:pos="4513"/>
        <w:tab w:val="clear" w:pos="9027"/>
      </w:tabs>
      <w:jc w:val="center"/>
    </w:pPr>
  </w:p>
  <w:p w:rsidR="009239F7" w:rsidRPr="002F6A28" w:rsidP="009239F7" w14:paraId="475CB3C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A6906B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BB1317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F214D0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B93AF19" w14:textId="77777777">
          <w:pPr>
            <w:jc w:val="right"/>
            <w:rPr>
              <w:b/>
              <w:color w:val="FF0000"/>
              <w:szCs w:val="16"/>
            </w:rPr>
          </w:pPr>
        </w:p>
      </w:tc>
    </w:tr>
    <w:bookmarkEnd w:id="1"/>
    <w:tr w14:paraId="7286A63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7C384D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2CBE114" w14:textId="77777777">
          <w:pPr>
            <w:jc w:val="right"/>
            <w:rPr>
              <w:b/>
              <w:szCs w:val="16"/>
            </w:rPr>
          </w:pPr>
        </w:p>
      </w:tc>
    </w:tr>
    <w:tr w14:paraId="796E7D9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2A35FA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09A45A4" w14:textId="77777777">
          <w:pPr>
            <w:jc w:val="right"/>
            <w:rPr>
              <w:b/>
              <w:szCs w:val="16"/>
            </w:rPr>
          </w:pPr>
          <w:bookmarkStart w:id="2" w:name="bmkSymbols"/>
          <w:r w:rsidRPr="002F6A28">
            <w:rPr>
              <w:b/>
              <w:szCs w:val="16"/>
            </w:rPr>
            <w:t>G/TBT/N/EU/1192</w:t>
          </w:r>
          <w:bookmarkEnd w:id="2"/>
        </w:p>
      </w:tc>
    </w:tr>
    <w:tr w14:paraId="1A05B95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ED501F8" w14:textId="77777777"/>
      </w:tc>
      <w:tc>
        <w:tcPr>
          <w:tcW w:w="5448" w:type="dxa"/>
          <w:gridSpan w:val="2"/>
          <w:shd w:val="clear" w:color="auto" w:fill="FFFFFF"/>
          <w:tcMar>
            <w:left w:w="108" w:type="dxa"/>
            <w:right w:w="108" w:type="dxa"/>
          </w:tcMar>
          <w:vAlign w:val="center"/>
        </w:tcPr>
        <w:p w:rsidR="00ED54E0" w:rsidRPr="009239F7" w:rsidP="00B801E9" w14:paraId="6CB94129" w14:textId="77777777">
          <w:pPr>
            <w:jc w:val="right"/>
            <w:rPr>
              <w:szCs w:val="16"/>
            </w:rPr>
          </w:pPr>
          <w:bookmarkStart w:id="3" w:name="spsDateDistribution"/>
          <w:bookmarkStart w:id="4" w:name="bmkDate"/>
          <w:r w:rsidRPr="009239F7">
            <w:rPr>
              <w:szCs w:val="16"/>
            </w:rPr>
            <w:t>20 February 2026</w:t>
          </w:r>
          <w:bookmarkEnd w:id="3"/>
          <w:bookmarkEnd w:id="4"/>
        </w:p>
      </w:tc>
    </w:tr>
    <w:tr w14:paraId="5934BA2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8A3BA08" w14:textId="77777777">
          <w:pPr>
            <w:jc w:val="left"/>
            <w:rPr>
              <w:b/>
            </w:rPr>
          </w:pPr>
          <w:bookmarkStart w:id="5" w:name="bmkSerial"/>
          <w:r>
            <w:rPr>
              <w:rFonts w:ascii="Verdana" w:eastAsia="Verdana" w:hAnsi="Verdana" w:cs="Verdana"/>
              <w:b w:val="0"/>
              <w:color w:val="FF0000"/>
              <w:sz w:val="18"/>
            </w:rPr>
            <w:t>(26-1200)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C24C20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5AB6A5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6D6066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BC0FCB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C1A99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55045238">
    <w:abstractNumId w:val="9"/>
  </w:num>
  <w:num w:numId="2" w16cid:durableId="1858494251">
    <w:abstractNumId w:val="7"/>
  </w:num>
  <w:num w:numId="3" w16cid:durableId="1330131983">
    <w:abstractNumId w:val="6"/>
  </w:num>
  <w:num w:numId="4" w16cid:durableId="2055159160">
    <w:abstractNumId w:val="5"/>
  </w:num>
  <w:num w:numId="5" w16cid:durableId="1823810159">
    <w:abstractNumId w:val="4"/>
  </w:num>
  <w:num w:numId="6" w16cid:durableId="143158887">
    <w:abstractNumId w:val="12"/>
  </w:num>
  <w:num w:numId="7" w16cid:durableId="1400060244">
    <w:abstractNumId w:val="11"/>
  </w:num>
  <w:num w:numId="8" w16cid:durableId="626619873">
    <w:abstractNumId w:val="10"/>
  </w:num>
  <w:num w:numId="9" w16cid:durableId="929503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0002651">
    <w:abstractNumId w:val="13"/>
  </w:num>
  <w:num w:numId="11" w16cid:durableId="8525520">
    <w:abstractNumId w:val="8"/>
  </w:num>
  <w:num w:numId="12" w16cid:durableId="884213898">
    <w:abstractNumId w:val="3"/>
  </w:num>
  <w:num w:numId="13" w16cid:durableId="649137615">
    <w:abstractNumId w:val="2"/>
  </w:num>
  <w:num w:numId="14" w16cid:durableId="4946360">
    <w:abstractNumId w:val="1"/>
  </w:num>
  <w:num w:numId="15" w16cid:durableId="487525402">
    <w:abstractNumId w:val="0"/>
  </w:num>
  <w:num w:numId="16" w16cid:durableId="20718094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E5858"/>
    <w:rsid w:val="004F203A"/>
    <w:rsid w:val="005104AF"/>
    <w:rsid w:val="0052601B"/>
    <w:rsid w:val="005336B8"/>
    <w:rsid w:val="00533DC1"/>
    <w:rsid w:val="0054317D"/>
    <w:rsid w:val="00545ACF"/>
    <w:rsid w:val="00547B5F"/>
    <w:rsid w:val="005545C6"/>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26552"/>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30A81"/>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04C92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eur-lex.europa.eu/legal-content/EN/TXT/?uri=celex:52025PC0747" TargetMode="External" /><Relationship Id="rId8" Type="http://schemas.openxmlformats.org/officeDocument/2006/relationships/hyperlink" Target="https://members.wto.org/crnattachments/2026/TBT/EEC/26_01005_00_e.pdf" TargetMode="External" /><Relationship Id="rId9" Type="http://schemas.openxmlformats.org/officeDocument/2006/relationships/hyperlink" Target="https://members.wto.org/crnattachments/2026/TBT/EEC/26_01005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2026-02-20T08:12:00Z</dcterms:created>
  <dcterms:modified xsi:type="dcterms:W3CDTF">2026-02-20T08:12:00Z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