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ED4C244" w14:textId="77777777">
      <w:pPr>
        <w:pStyle w:val="Title"/>
        <w:rPr>
          <w:caps w:val="0"/>
          <w:kern w:val="0"/>
        </w:rPr>
      </w:pPr>
      <w:r w:rsidRPr="002F6A28">
        <w:rPr>
          <w:caps w:val="0"/>
          <w:kern w:val="0"/>
        </w:rPr>
        <w:t>NOTIFICATION</w:t>
      </w:r>
    </w:p>
    <w:p w:rsidR="009239F7" w:rsidRPr="002F6A28" w:rsidP="002F6A28" w14:paraId="632D6C1E" w14:textId="77777777">
      <w:pPr>
        <w:jc w:val="center"/>
      </w:pPr>
      <w:r w:rsidRPr="002F6A28">
        <w:t>The following notification is being circulated in accordance with Article 10.6</w:t>
      </w:r>
    </w:p>
    <w:p w:rsidR="009239F7" w:rsidRPr="002F6A28" w:rsidP="002F6A28" w14:paraId="60999B5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DFBB057" w14:textId="77777777" w:rsidTr="00DB13FE">
        <w:tblPrEx>
          <w:tblW w:w="5000" w:type="pct"/>
          <w:tblLayout w:type="fixed"/>
          <w:tblLook w:val="0000"/>
        </w:tblPrEx>
        <w:tc>
          <w:tcPr>
            <w:tcW w:w="607" w:type="dxa"/>
            <w:tcBorders>
              <w:top w:val="double" w:sz="4" w:space="0" w:color="auto"/>
            </w:tcBorders>
          </w:tcPr>
          <w:p w:rsidR="00F85C99" w:rsidRPr="002F6A28" w:rsidP="002F6A28" w14:paraId="7FE8DCF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37144A6"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4B635D3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530C826" w14:textId="77777777" w:rsidTr="00DB13FE">
        <w:tblPrEx>
          <w:tblW w:w="5000" w:type="pct"/>
          <w:tblLayout w:type="fixed"/>
          <w:tblLook w:val="0000"/>
        </w:tblPrEx>
        <w:tc>
          <w:tcPr>
            <w:tcW w:w="607" w:type="dxa"/>
          </w:tcPr>
          <w:p w:rsidR="00F85C99" w:rsidRPr="002F6A28" w:rsidP="002F6A28" w14:paraId="7BA8DDA2" w14:textId="77777777">
            <w:pPr>
              <w:spacing w:before="120" w:after="120"/>
              <w:jc w:val="left"/>
            </w:pPr>
            <w:r w:rsidRPr="002F6A28">
              <w:rPr>
                <w:b/>
              </w:rPr>
              <w:t>2.</w:t>
            </w:r>
          </w:p>
        </w:tc>
        <w:tc>
          <w:tcPr>
            <w:tcW w:w="8373" w:type="dxa"/>
          </w:tcPr>
          <w:p w:rsidR="00F85C99" w:rsidRPr="002F6A28" w:rsidP="000C3B6C" w14:paraId="184B7C80" w14:textId="77777777">
            <w:pPr>
              <w:spacing w:before="120" w:after="120"/>
            </w:pPr>
            <w:r w:rsidRPr="002F6A28">
              <w:rPr>
                <w:b/>
              </w:rPr>
              <w:t>Agency responsible:</w:t>
            </w:r>
            <w:r w:rsidRPr="00C379C8" w:rsidR="00EE3A11">
              <w:t xml:space="preserve"> </w:t>
            </w:r>
          </w:p>
          <w:p w:rsidR="00EE3A11" w:rsidRPr="00C379C8" w:rsidP="000C3B6C" w14:paraId="22F3FCAA" w14:textId="77777777">
            <w:pPr>
              <w:spacing w:after="120"/>
            </w:pPr>
            <w:r w:rsidRPr="00C379C8">
              <w:t>Ministry of Economy, Environment and Agriculture of Ukraine</w:t>
            </w:r>
          </w:p>
        </w:tc>
      </w:tr>
      <w:tr w14:paraId="0D9E1220" w14:textId="77777777" w:rsidTr="00DB13FE">
        <w:tblPrEx>
          <w:tblW w:w="5000" w:type="pct"/>
          <w:tblLayout w:type="fixed"/>
          <w:tblLook w:val="0000"/>
        </w:tblPrEx>
        <w:tc>
          <w:tcPr>
            <w:tcW w:w="607" w:type="dxa"/>
          </w:tcPr>
          <w:p w:rsidR="00F85C99" w:rsidRPr="002F6A28" w:rsidP="002F6A28" w14:paraId="3B7B0ABC" w14:textId="77777777">
            <w:pPr>
              <w:spacing w:before="120" w:after="120"/>
              <w:jc w:val="left"/>
              <w:rPr>
                <w:b/>
              </w:rPr>
            </w:pPr>
            <w:r w:rsidRPr="002F6A28">
              <w:rPr>
                <w:b/>
              </w:rPr>
              <w:t>3.</w:t>
            </w:r>
          </w:p>
        </w:tc>
        <w:tc>
          <w:tcPr>
            <w:tcW w:w="8373" w:type="dxa"/>
          </w:tcPr>
          <w:p w:rsidR="00F85C99" w:rsidRPr="0058336F" w:rsidP="002F6A28" w14:paraId="7A57993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BA9A7BB" w14:textId="77777777" w:rsidTr="00DB13FE">
        <w:tblPrEx>
          <w:tblW w:w="5000" w:type="pct"/>
          <w:tblLayout w:type="fixed"/>
          <w:tblLook w:val="0000"/>
        </w:tblPrEx>
        <w:tc>
          <w:tcPr>
            <w:tcW w:w="607" w:type="dxa"/>
          </w:tcPr>
          <w:p w:rsidR="00F85C99" w:rsidRPr="002F6A28" w:rsidP="002F6A28" w14:paraId="042A1731" w14:textId="77777777">
            <w:pPr>
              <w:spacing w:before="120" w:after="120"/>
              <w:jc w:val="left"/>
            </w:pPr>
            <w:r w:rsidRPr="002F6A28">
              <w:rPr>
                <w:b/>
              </w:rPr>
              <w:t>4.</w:t>
            </w:r>
          </w:p>
        </w:tc>
        <w:tc>
          <w:tcPr>
            <w:tcW w:w="8373" w:type="dxa"/>
          </w:tcPr>
          <w:p w:rsidR="00F85C99" w:rsidRPr="002F6A28" w:rsidP="002F6A28" w14:paraId="5DC863C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Measuring equipment</w:t>
            </w:r>
          </w:p>
        </w:tc>
      </w:tr>
      <w:tr w14:paraId="14F8038D" w14:textId="77777777" w:rsidTr="00DB13FE">
        <w:tblPrEx>
          <w:tblW w:w="5000" w:type="pct"/>
          <w:tblLayout w:type="fixed"/>
          <w:tblLook w:val="0000"/>
        </w:tblPrEx>
        <w:tc>
          <w:tcPr>
            <w:tcW w:w="607" w:type="dxa"/>
          </w:tcPr>
          <w:p w:rsidR="00F85C99" w:rsidRPr="002F6A28" w:rsidP="002F6A28" w14:paraId="66949F3A" w14:textId="77777777">
            <w:pPr>
              <w:spacing w:before="120" w:after="120"/>
              <w:jc w:val="left"/>
            </w:pPr>
            <w:r w:rsidRPr="002F6A28">
              <w:rPr>
                <w:b/>
              </w:rPr>
              <w:t>5.</w:t>
            </w:r>
          </w:p>
        </w:tc>
        <w:tc>
          <w:tcPr>
            <w:tcW w:w="8373" w:type="dxa"/>
          </w:tcPr>
          <w:p w:rsidR="00F85C99" w:rsidP="002F6A28" w14:paraId="6EAD5C4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Resolution of the Cabinet of Ministers of Ukraine "On Amendments to the Resolutions of the Cabinet of Ministers of Ukraine of 4 June 2015 No. 374 and of 13 January 2016 No. 94"; (6 page(s), in Ukrainian)</w:t>
            </w:r>
          </w:p>
          <w:p w:rsidR="000C3B6C" w:rsidRPr="000C3B6C" w:rsidP="002F6A28" w14:paraId="0BBA9C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C5F3B" w:rsidRPr="00CE6C29" w:rsidP="002F6A28" w14:paraId="111228FA"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https://members.wto.org/crnattachments/2026/TBT/UKR/26_00979_00_x.pdf</w:t>
              </w:r>
            </w:hyperlink>
          </w:p>
          <w:p w:rsidR="002C5F3B" w:rsidRPr="00CE6C29" w:rsidP="002F6A28" w14:paraId="00BAAFD4" w14:textId="77777777">
            <w:pPr>
              <w:spacing w:after="120"/>
              <w:rPr>
                <w:iCs/>
              </w:rPr>
            </w:pPr>
            <w:hyperlink r:id="rId6" w:tgtFrame="_blank" w:history="1">
              <w:r w:rsidRPr="00CE6C29">
                <w:rPr>
                  <w:iCs/>
                  <w:color w:val="0000FF"/>
                  <w:u w:val="single"/>
                </w:rPr>
                <w:t>https://me.gov.ua/Documents/Detail/c900bee3-c9f3-401c-83a2-79b22b04b403?lang=uk-UA&amp;title=ProktPostanoviKabinetuMinistrivUkrainiproVnesenniaZminDoPostanovKabinetuMinistrivUkrainiVid4-Chervnia2015-R-374-IVid13-Sichnia2016-R-94-</w:t>
              </w:r>
            </w:hyperlink>
          </w:p>
        </w:tc>
      </w:tr>
      <w:tr w14:paraId="6D8EE572" w14:textId="77777777" w:rsidTr="00DB13FE">
        <w:tblPrEx>
          <w:tblW w:w="5000" w:type="pct"/>
          <w:tblLayout w:type="fixed"/>
          <w:tblLook w:val="0000"/>
        </w:tblPrEx>
        <w:tc>
          <w:tcPr>
            <w:tcW w:w="607" w:type="dxa"/>
          </w:tcPr>
          <w:p w:rsidR="00F85C99" w:rsidRPr="002F6A28" w:rsidP="002F6A28" w14:paraId="09AD0029" w14:textId="77777777">
            <w:pPr>
              <w:spacing w:before="120" w:after="120"/>
              <w:jc w:val="left"/>
              <w:rPr>
                <w:b/>
              </w:rPr>
            </w:pPr>
            <w:r w:rsidRPr="002F6A28">
              <w:rPr>
                <w:b/>
              </w:rPr>
              <w:t>6.</w:t>
            </w:r>
          </w:p>
        </w:tc>
        <w:tc>
          <w:tcPr>
            <w:tcW w:w="8373" w:type="dxa"/>
          </w:tcPr>
          <w:p w:rsidR="00F85C99" w:rsidRPr="002F6A28" w:rsidP="002F6A28" w14:paraId="4CEBCBE5" w14:textId="77777777">
            <w:pPr>
              <w:spacing w:before="120" w:after="120"/>
              <w:rPr>
                <w:b/>
              </w:rPr>
            </w:pPr>
            <w:r w:rsidRPr="002F6A28">
              <w:rPr>
                <w:b/>
              </w:rPr>
              <w:t>Description of content:</w:t>
            </w:r>
            <w:r w:rsidRPr="00C379C8" w:rsidR="00FE448B">
              <w:t xml:space="preserve"> The draft Resolution proposes amendments to the List of Categories of Legally Controlled Measuring Equipment Subject to Periodic Inspection and Annex 1 to the Technical Regulation on Legally Controlled Measuring Equipment. </w:t>
            </w:r>
          </w:p>
          <w:p w:rsidR="00FE448B" w:rsidRPr="00C379C8" w:rsidP="002F6A28" w14:paraId="0CF9EBB8" w14:textId="77777777">
            <w:pPr>
              <w:spacing w:before="120" w:after="120"/>
            </w:pPr>
            <w:r w:rsidRPr="00C379C8">
              <w:t>The proposed amendments provide for the exclusion of certain categories of legally controlled measuring equipment, their streamlining (in particular, eliminating cases where certain equipment falls simultaneously within multiple categories), the update of the titles of specific categories of legally controlled measuring equipment and the types of activities (as defined in Part 1 of Article 3 of the Law on Metrology) in which such equipment is used.</w:t>
            </w:r>
          </w:p>
          <w:p w:rsidR="00FE448B" w:rsidRPr="00C379C8" w:rsidP="002F6A28" w14:paraId="6AD4B3A1" w14:textId="77777777">
            <w:pPr>
              <w:spacing w:before="120" w:after="120"/>
            </w:pPr>
            <w:r w:rsidRPr="00C379C8">
              <w:t>Specifically, the draft Resolution proposes to exclude 12 categories of measuring equipment from the List of Categories of Legally Controlled Measuring Equipment Subject to Periodic Inspection, to clarify the titles of 12 categories of measuring equipment and the corresponding types of regulated activities in which the equipment is used, to exclude 11 categories of measuring equipment from Annex 1 to the Technical Regulation on Legally Controlled Measuring Equipment.</w:t>
            </w:r>
          </w:p>
          <w:p w:rsidR="00FE448B" w:rsidRPr="00C379C8" w:rsidP="002F6A28" w14:paraId="7CFC13C2" w14:textId="77777777">
            <w:pPr>
              <w:spacing w:before="120" w:after="120"/>
            </w:pPr>
            <w:r w:rsidRPr="00C379C8">
              <w:t>The amendments are intended to enhance legal clarity, ensure the consistent application of the regulatory framework, and eliminate inaccuracies identified during practical implementation.</w:t>
            </w:r>
          </w:p>
        </w:tc>
      </w:tr>
      <w:tr w14:paraId="133EBF04" w14:textId="77777777" w:rsidTr="00DB13FE">
        <w:tblPrEx>
          <w:tblW w:w="5000" w:type="pct"/>
          <w:tblLayout w:type="fixed"/>
          <w:tblLook w:val="0000"/>
        </w:tblPrEx>
        <w:tc>
          <w:tcPr>
            <w:tcW w:w="607" w:type="dxa"/>
          </w:tcPr>
          <w:p w:rsidR="00F85C99" w:rsidRPr="002F6A28" w:rsidP="002F6A28" w14:paraId="1E053CE1" w14:textId="77777777">
            <w:pPr>
              <w:spacing w:before="120" w:after="120"/>
              <w:jc w:val="left"/>
              <w:rPr>
                <w:b/>
              </w:rPr>
            </w:pPr>
            <w:r w:rsidRPr="002F6A28">
              <w:rPr>
                <w:b/>
              </w:rPr>
              <w:t>7.</w:t>
            </w:r>
          </w:p>
        </w:tc>
        <w:tc>
          <w:tcPr>
            <w:tcW w:w="8373" w:type="dxa"/>
          </w:tcPr>
          <w:p w:rsidR="00F85C99" w:rsidRPr="002F6A28" w:rsidP="002F6A28" w14:paraId="49FD3DF5"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w:t>
            </w:r>
          </w:p>
        </w:tc>
      </w:tr>
      <w:tr w14:paraId="4F2A43BB" w14:textId="77777777" w:rsidTr="00DB13FE">
        <w:tblPrEx>
          <w:tblW w:w="5000" w:type="pct"/>
          <w:tblLayout w:type="fixed"/>
          <w:tblLook w:val="0000"/>
        </w:tblPrEx>
        <w:tc>
          <w:tcPr>
            <w:tcW w:w="607" w:type="dxa"/>
          </w:tcPr>
          <w:p w:rsidR="00F85C99" w:rsidRPr="002F6A28" w:rsidP="009E75ED" w14:paraId="6932BC37" w14:textId="77777777">
            <w:pPr>
              <w:spacing w:before="120" w:after="120"/>
              <w:jc w:val="left"/>
              <w:rPr>
                <w:b/>
              </w:rPr>
            </w:pPr>
            <w:r w:rsidRPr="002F6A28">
              <w:rPr>
                <w:b/>
              </w:rPr>
              <w:t>8.</w:t>
            </w:r>
          </w:p>
        </w:tc>
        <w:tc>
          <w:tcPr>
            <w:tcW w:w="8373" w:type="dxa"/>
          </w:tcPr>
          <w:p w:rsidR="000C3B6C" w:rsidRPr="00EC00D2" w:rsidP="007F13E8" w14:paraId="5A6B79EC" w14:textId="77777777">
            <w:pPr>
              <w:spacing w:before="120" w:after="120"/>
              <w:rPr>
                <w:bCs/>
              </w:rPr>
            </w:pPr>
            <w:r w:rsidRPr="002F6A28">
              <w:rPr>
                <w:b/>
              </w:rPr>
              <w:t>Relevant documents:</w:t>
            </w:r>
            <w:r w:rsidRPr="002F6A28" w:rsidR="00EE3A11">
              <w:t xml:space="preserve"> </w:t>
            </w:r>
          </w:p>
          <w:p w:rsidR="00EE3A11" w:rsidRPr="002F6A28" w:rsidP="007F13E8" w14:paraId="68313ACF" w14:textId="77777777">
            <w:pPr>
              <w:spacing w:before="120" w:after="120"/>
            </w:pPr>
            <w:r w:rsidRPr="002F6A28">
              <w:t>Laws of Ukraine "On Metrology and Metrological Activity" and "On Technical Regulations and Conformity Assesment Procedures";</w:t>
            </w:r>
          </w:p>
          <w:p w:rsidR="00EE3A11" w:rsidRPr="002F6A28" w:rsidP="007F13E8" w14:paraId="43A9FC81" w14:textId="77777777">
            <w:pPr>
              <w:spacing w:before="120" w:after="120"/>
            </w:pPr>
            <w:r w:rsidRPr="002F6A28">
              <w:t>Resolution of the Cabinet of Ministries of Ukraine of 4 June 2015 No. 374 "On Approving the List of Categories of Legally Controlled Measuring Equipment Subject to Periodic Inspection";</w:t>
            </w:r>
          </w:p>
          <w:p w:rsidR="00EE3A11" w:rsidRPr="002F6A28" w:rsidP="007F13E8" w14:paraId="6B48AA84" w14:textId="77777777">
            <w:pPr>
              <w:spacing w:before="120" w:after="120"/>
            </w:pPr>
            <w:r w:rsidRPr="002F6A28">
              <w:t>Resolution of the Cabinet of Ministries of Ukraine of 13 January 2016 No. 94 "On Approval of the Technical Regulation of Legally Controlled Measuring Equipment".</w:t>
            </w:r>
          </w:p>
          <w:p w:rsidR="00EE3A11" w:rsidRPr="002F6A28" w:rsidP="007F13E8" w14:paraId="5DC278FF" w14:textId="77777777">
            <w:pPr>
              <w:spacing w:before="120" w:after="120"/>
            </w:pPr>
            <w:r w:rsidRPr="002F6A28">
              <w:rPr>
                <w:b/>
                <w:bCs/>
              </w:rPr>
              <w:t>Relevant notifications:</w:t>
            </w:r>
          </w:p>
          <w:p w:rsidR="00EE3A11" w:rsidRPr="002F6A28" w:rsidP="007F13E8" w14:paraId="08A8AFF9" w14:textId="77777777">
            <w:pPr>
              <w:numPr>
                <w:ilvl w:val="0"/>
                <w:numId w:val="16"/>
              </w:numPr>
              <w:spacing w:before="120" w:after="120"/>
            </w:pPr>
            <w:hyperlink r:id="rId7" w:history="1">
              <w:r w:rsidRPr="002F6A28">
                <w:rPr>
                  <w:color w:val="0000FF"/>
                  <w:u w:val="single"/>
                </w:rPr>
                <w:t>G/TBT/2/Add.100/Rev.6</w:t>
              </w:r>
            </w:hyperlink>
          </w:p>
          <w:p w:rsidR="00EE3A11" w:rsidRPr="002F6A28" w:rsidP="007F13E8" w14:paraId="4A73950F" w14:textId="77777777">
            <w:pPr>
              <w:numPr>
                <w:ilvl w:val="0"/>
                <w:numId w:val="16"/>
              </w:numPr>
              <w:spacing w:before="120" w:after="120"/>
            </w:pPr>
            <w:hyperlink r:id="rId8" w:history="1">
              <w:r w:rsidRPr="002F6A28">
                <w:rPr>
                  <w:color w:val="0000FF"/>
                  <w:u w:val="single"/>
                </w:rPr>
                <w:t>G/TBT/N/UKR/105</w:t>
              </w:r>
            </w:hyperlink>
          </w:p>
        </w:tc>
      </w:tr>
      <w:tr w14:paraId="60ABAB9B" w14:textId="77777777" w:rsidTr="00DB13FE">
        <w:tblPrEx>
          <w:tblW w:w="5000" w:type="pct"/>
          <w:tblLayout w:type="fixed"/>
          <w:tblLook w:val="0000"/>
        </w:tblPrEx>
        <w:tc>
          <w:tcPr>
            <w:tcW w:w="607" w:type="dxa"/>
          </w:tcPr>
          <w:p w:rsidR="00EE3A11" w:rsidRPr="002F6A28" w:rsidP="002F6A28" w14:paraId="23752A43" w14:textId="77777777">
            <w:pPr>
              <w:spacing w:before="120" w:after="120"/>
              <w:jc w:val="left"/>
              <w:rPr>
                <w:b/>
              </w:rPr>
            </w:pPr>
            <w:r w:rsidRPr="002F6A28">
              <w:rPr>
                <w:b/>
              </w:rPr>
              <w:t>9.</w:t>
            </w:r>
          </w:p>
        </w:tc>
        <w:tc>
          <w:tcPr>
            <w:tcW w:w="8373" w:type="dxa"/>
          </w:tcPr>
          <w:p w:rsidR="00EE3A11" w:rsidRPr="002F6A28" w:rsidP="008953C4" w14:paraId="60E31132" w14:textId="77777777">
            <w:pPr>
              <w:spacing w:before="120" w:after="120"/>
            </w:pPr>
            <w:r w:rsidRPr="002F6A28">
              <w:rPr>
                <w:b/>
              </w:rPr>
              <w:t>Proposed date of adoption:</w:t>
            </w:r>
            <w:r w:rsidRPr="00C379C8">
              <w:t xml:space="preserve"> To be determined</w:t>
            </w:r>
          </w:p>
          <w:p w:rsidR="00EE3A11" w:rsidRPr="002F6A28" w:rsidP="008953C4" w14:paraId="0217A899" w14:textId="77777777">
            <w:pPr>
              <w:spacing w:after="120"/>
            </w:pPr>
            <w:r w:rsidRPr="002F6A28">
              <w:rPr>
                <w:b/>
              </w:rPr>
              <w:t>Proposed date of entry into force:</w:t>
            </w:r>
            <w:r w:rsidRPr="00C379C8">
              <w:t xml:space="preserve"> The Resolution will enter into force six months after its official publication.</w:t>
            </w:r>
          </w:p>
        </w:tc>
      </w:tr>
      <w:tr w14:paraId="3FDC5A05" w14:textId="77777777" w:rsidTr="00DB13FE">
        <w:tblPrEx>
          <w:tblW w:w="5000" w:type="pct"/>
          <w:tblLayout w:type="fixed"/>
          <w:tblLook w:val="0000"/>
        </w:tblPrEx>
        <w:tc>
          <w:tcPr>
            <w:tcW w:w="607" w:type="dxa"/>
            <w:tcBorders>
              <w:bottom w:val="double" w:sz="4" w:space="0" w:color="auto"/>
            </w:tcBorders>
          </w:tcPr>
          <w:p w:rsidR="00F85C99" w:rsidRPr="002F6A28" w:rsidP="002F6A28" w14:paraId="34E331B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AF783F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48D6015" w14:textId="77777777">
            <w:pPr>
              <w:spacing w:before="120" w:after="120"/>
              <w:rPr>
                <w:bCs/>
              </w:rPr>
            </w:pPr>
            <w:r w:rsidRPr="002F6A28">
              <w:rPr>
                <w:b/>
              </w:rPr>
              <w:t>Final date for comments:</w:t>
            </w:r>
            <w:r w:rsidRPr="00C379C8" w:rsidR="00EE3A11">
              <w:t xml:space="preserve"> 20 April 2026</w:t>
            </w:r>
          </w:p>
          <w:p w:rsidR="000C3B6C" w:rsidRPr="00E3324D" w:rsidP="000C3B6C" w14:paraId="4EABF3EC"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35B98CF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61863F" w14:textId="77777777">
            <w:r w:rsidRPr="00CE6C29">
              <w:t>Secretariat of the Cabinet of Ministers of Ukraine</w:t>
            </w:r>
          </w:p>
          <w:p w:rsidR="00CE6C29" w:rsidRPr="00CE6C29" w:rsidP="000C3B6C" w14:paraId="7A67E04C" w14:textId="77777777">
            <w:r w:rsidRPr="00CE6C29">
              <w:t>Department of International Trade Policy</w:t>
            </w:r>
          </w:p>
          <w:p w:rsidR="00CE6C29" w:rsidRPr="00CE6C29" w:rsidP="000C3B6C" w14:paraId="7E14B366" w14:textId="77777777">
            <w:r w:rsidRPr="00CE6C29">
              <w:t>12/2 Hrushevskoho Str.</w:t>
            </w:r>
          </w:p>
          <w:p w:rsidR="00CE6C29" w:rsidRPr="00CE6C29" w:rsidP="000C3B6C" w14:paraId="7B33508E" w14:textId="77777777">
            <w:r w:rsidRPr="00CE6C29">
              <w:t>Kyiv 01008</w:t>
            </w:r>
          </w:p>
          <w:p w:rsidR="00CE6C29" w:rsidRPr="00CE6C29" w:rsidP="000C3B6C" w14:paraId="7AA64534" w14:textId="77777777">
            <w:r w:rsidRPr="00CE6C29">
              <w:t>Tel: +(38 044) 256 65 07</w:t>
            </w:r>
          </w:p>
          <w:p w:rsidR="00CE6C29" w:rsidRPr="00CE6C29" w:rsidP="000C3B6C" w14:paraId="57B9D234" w14:textId="77777777">
            <w:r w:rsidRPr="00CE6C29">
              <w:t xml:space="preserve">Email: </w:t>
            </w:r>
            <w:hyperlink r:id="rId9" w:history="1">
              <w:r w:rsidRPr="00CE6C29">
                <w:rPr>
                  <w:color w:val="0000FF"/>
                  <w:u w:val="single"/>
                </w:rPr>
                <w:t>ep@kmu.gov.ua</w:t>
              </w:r>
            </w:hyperlink>
          </w:p>
          <w:p w:rsidR="00CE6C29" w:rsidRPr="00CE6C29" w:rsidP="000C3B6C" w14:paraId="0EC1E78A"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03765733"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40066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5D9EA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02F8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D60C09" w14:textId="77777777">
    <w:pPr>
      <w:pStyle w:val="Header"/>
      <w:pBdr>
        <w:bottom w:val="single" w:sz="4" w:space="1" w:color="auto"/>
      </w:pBdr>
      <w:tabs>
        <w:tab w:val="clear" w:pos="4513"/>
        <w:tab w:val="clear" w:pos="9027"/>
      </w:tabs>
      <w:jc w:val="center"/>
    </w:pPr>
    <w:r w:rsidRPr="002F6A28">
      <w:t>tbtSymbol</w:t>
    </w:r>
  </w:p>
  <w:p w:rsidR="009239F7" w:rsidRPr="002F6A28" w:rsidP="009239F7" w14:paraId="2698A73D" w14:textId="77777777">
    <w:pPr>
      <w:pStyle w:val="Header"/>
      <w:pBdr>
        <w:bottom w:val="single" w:sz="4" w:space="1" w:color="auto"/>
      </w:pBdr>
      <w:tabs>
        <w:tab w:val="clear" w:pos="4513"/>
        <w:tab w:val="clear" w:pos="9027"/>
      </w:tabs>
      <w:jc w:val="center"/>
    </w:pPr>
  </w:p>
  <w:p w:rsidR="009239F7" w:rsidRPr="002F6A28" w:rsidP="009239F7" w14:paraId="49548D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B9C6A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444D5F" w14:textId="77777777">
    <w:pPr>
      <w:pStyle w:val="Header"/>
      <w:pBdr>
        <w:bottom w:val="single" w:sz="4" w:space="1" w:color="auto"/>
      </w:pBdr>
      <w:tabs>
        <w:tab w:val="clear" w:pos="4513"/>
        <w:tab w:val="clear" w:pos="9027"/>
      </w:tabs>
      <w:jc w:val="center"/>
    </w:pPr>
    <w:bookmarkStart w:id="0" w:name="spsSymbolHeader"/>
    <w:r w:rsidRPr="002F6A28">
      <w:t>G/TBT/N/UKR/370</w:t>
    </w:r>
    <w:bookmarkEnd w:id="0"/>
  </w:p>
  <w:p w:rsidR="009239F7" w:rsidRPr="002F6A28" w:rsidP="009239F7" w14:paraId="135929CE" w14:textId="77777777">
    <w:pPr>
      <w:pStyle w:val="Header"/>
      <w:pBdr>
        <w:bottom w:val="single" w:sz="4" w:space="1" w:color="auto"/>
      </w:pBdr>
      <w:tabs>
        <w:tab w:val="clear" w:pos="4513"/>
        <w:tab w:val="clear" w:pos="9027"/>
      </w:tabs>
      <w:jc w:val="center"/>
    </w:pPr>
  </w:p>
  <w:p w:rsidR="009239F7" w:rsidRPr="002F6A28" w:rsidP="009239F7" w14:paraId="5EA573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550F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9B974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0AAA48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7787A5" w14:textId="77777777">
          <w:pPr>
            <w:jc w:val="right"/>
            <w:rPr>
              <w:b/>
              <w:color w:val="FF0000"/>
              <w:szCs w:val="16"/>
            </w:rPr>
          </w:pPr>
        </w:p>
      </w:tc>
    </w:tr>
    <w:bookmarkEnd w:id="1"/>
    <w:tr w14:paraId="52834F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07C8C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ADBEF4" w14:textId="77777777">
          <w:pPr>
            <w:jc w:val="right"/>
            <w:rPr>
              <w:b/>
              <w:szCs w:val="16"/>
            </w:rPr>
          </w:pPr>
        </w:p>
      </w:tc>
    </w:tr>
    <w:tr w14:paraId="70D5ACC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8E294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D1AC8E" w14:textId="77777777">
          <w:pPr>
            <w:jc w:val="right"/>
            <w:rPr>
              <w:b/>
              <w:szCs w:val="16"/>
            </w:rPr>
          </w:pPr>
          <w:bookmarkStart w:id="2" w:name="bmkSymbols"/>
          <w:r w:rsidRPr="002F6A28">
            <w:rPr>
              <w:b/>
              <w:szCs w:val="16"/>
            </w:rPr>
            <w:t>G/TBT/N/UKR/370</w:t>
          </w:r>
          <w:bookmarkEnd w:id="2"/>
        </w:p>
      </w:tc>
    </w:tr>
    <w:tr w14:paraId="6E4C902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5275C2" w14:textId="77777777"/>
      </w:tc>
      <w:tc>
        <w:tcPr>
          <w:tcW w:w="5448" w:type="dxa"/>
          <w:gridSpan w:val="2"/>
          <w:shd w:val="clear" w:color="auto" w:fill="FFFFFF"/>
          <w:tcMar>
            <w:left w:w="108" w:type="dxa"/>
            <w:right w:w="108" w:type="dxa"/>
          </w:tcMar>
          <w:vAlign w:val="center"/>
        </w:tcPr>
        <w:p w:rsidR="00ED54E0" w:rsidRPr="009239F7" w:rsidP="00B801E9" w14:paraId="067C6C1F" w14:textId="77777777">
          <w:pPr>
            <w:jc w:val="right"/>
            <w:rPr>
              <w:szCs w:val="16"/>
            </w:rPr>
          </w:pPr>
          <w:bookmarkStart w:id="3" w:name="spsDateDistribution"/>
          <w:bookmarkStart w:id="4" w:name="bmkDate"/>
          <w:r w:rsidRPr="009239F7">
            <w:rPr>
              <w:szCs w:val="16"/>
            </w:rPr>
            <w:t>19 February 2026</w:t>
          </w:r>
          <w:bookmarkEnd w:id="3"/>
          <w:bookmarkEnd w:id="4"/>
        </w:p>
      </w:tc>
    </w:tr>
    <w:tr w14:paraId="7C7A8EC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439039" w14:textId="77777777">
          <w:pPr>
            <w:jc w:val="left"/>
            <w:rPr>
              <w:b/>
            </w:rPr>
          </w:pPr>
          <w:bookmarkStart w:id="5" w:name="bmkSerial"/>
          <w:r>
            <w:rPr>
              <w:rFonts w:ascii="Verdana" w:eastAsia="Verdana" w:hAnsi="Verdana" w:cs="Verdana"/>
              <w:b w:val="0"/>
              <w:color w:val="FF0000"/>
              <w:sz w:val="18"/>
            </w:rPr>
            <w:t>(26-1167)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00A30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F0A0C8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C4E06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E0D2F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F8F2C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20215569">
    <w:abstractNumId w:val="9"/>
  </w:num>
  <w:num w:numId="2" w16cid:durableId="509225480">
    <w:abstractNumId w:val="7"/>
  </w:num>
  <w:num w:numId="3" w16cid:durableId="2052681844">
    <w:abstractNumId w:val="6"/>
  </w:num>
  <w:num w:numId="4" w16cid:durableId="724991604">
    <w:abstractNumId w:val="5"/>
  </w:num>
  <w:num w:numId="5" w16cid:durableId="2022587900">
    <w:abstractNumId w:val="4"/>
  </w:num>
  <w:num w:numId="6" w16cid:durableId="1735155483">
    <w:abstractNumId w:val="12"/>
  </w:num>
  <w:num w:numId="7" w16cid:durableId="1120733099">
    <w:abstractNumId w:val="11"/>
  </w:num>
  <w:num w:numId="8" w16cid:durableId="398599717">
    <w:abstractNumId w:val="10"/>
  </w:num>
  <w:num w:numId="9" w16cid:durableId="7822605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8157415">
    <w:abstractNumId w:val="13"/>
  </w:num>
  <w:num w:numId="11" w16cid:durableId="1690179586">
    <w:abstractNumId w:val="8"/>
  </w:num>
  <w:num w:numId="12" w16cid:durableId="1984190853">
    <w:abstractNumId w:val="3"/>
  </w:num>
  <w:num w:numId="13" w16cid:durableId="1300187357">
    <w:abstractNumId w:val="2"/>
  </w:num>
  <w:num w:numId="14" w16cid:durableId="90666180">
    <w:abstractNumId w:val="1"/>
  </w:num>
  <w:num w:numId="15" w16cid:durableId="792284289">
    <w:abstractNumId w:val="0"/>
  </w:num>
  <w:num w:numId="16" w16cid:durableId="18018742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5F3B"/>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D73B4"/>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7FA8"/>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64FF7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KR/26_00979_00_x.pdf" TargetMode="External" /><Relationship Id="rId6" Type="http://schemas.openxmlformats.org/officeDocument/2006/relationships/hyperlink" Target="https://me.gov.ua/Documents/Detail/c900bee3-c9f3-401c-83a2-79b22b04b403?lang=uk-UA&amp;title=ProktPostanoviKabinetuMinistrivUkrainiproVnesenniaZminDoPostanovKabinetuMinistrivUkrainiVid4-Chervnia2015-R-374-IVid13-Sichnia2016-R-94-" TargetMode="External" /><Relationship Id="rId7" Type="http://schemas.openxmlformats.org/officeDocument/2006/relationships/hyperlink" Target="https://eping.wto.org/en/Search/Index?viewData=G/TBT/2/Add.100/Rev.6" TargetMode="External" /><Relationship Id="rId8" Type="http://schemas.openxmlformats.org/officeDocument/2006/relationships/hyperlink" Target="https://eping.wto.org/en/Search/Index?viewData=G/TBT/N/UKR/105"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2026-02-19T08:57:00Z</dcterms:created>
  <dcterms:modified xsi:type="dcterms:W3CDTF">2026-02-19T08:57:00Z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