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B80E24B" w14:textId="77777777">
      <w:pPr>
        <w:pStyle w:val="Title"/>
      </w:pPr>
      <w:r w:rsidRPr="002F663C">
        <w:t>NOTIFICATION</w:t>
      </w:r>
    </w:p>
    <w:p w:rsidR="002F663C" w:rsidRPr="002F663C" w:rsidP="00DD3DD7" w14:paraId="2A762DB7" w14:textId="77777777">
      <w:pPr>
        <w:pStyle w:val="Title3"/>
      </w:pPr>
      <w:r w:rsidRPr="002F663C">
        <w:t>Addendum</w:t>
      </w:r>
    </w:p>
    <w:p w:rsidR="002F663C" w:rsidP="001E2E4A" w14:paraId="12C4907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19E7B812" w14:textId="77777777">
      <w:pPr>
        <w:rPr>
          <w:rFonts w:eastAsia="Calibri" w:cs="Times New Roman"/>
        </w:rPr>
      </w:pPr>
    </w:p>
    <w:p w:rsidR="002F663C" w:rsidRPr="002F663C" w:rsidP="002F663C" w14:paraId="698D47E7" w14:textId="77777777">
      <w:pPr>
        <w:jc w:val="center"/>
        <w:rPr>
          <w:rFonts w:eastAsia="Calibri" w:cs="Times New Roman"/>
          <w:b/>
        </w:rPr>
      </w:pPr>
      <w:r w:rsidRPr="002F663C">
        <w:rPr>
          <w:rFonts w:eastAsia="Calibri" w:cs="Times New Roman"/>
          <w:b/>
        </w:rPr>
        <w:t>_______________</w:t>
      </w:r>
    </w:p>
    <w:p w:rsidR="002F663C" w:rsidP="002F663C" w14:paraId="6C0C600D" w14:textId="77777777">
      <w:pPr>
        <w:rPr>
          <w:rFonts w:eastAsia="Calibri" w:cs="Times New Roman"/>
        </w:rPr>
      </w:pPr>
    </w:p>
    <w:p w:rsidR="00C14444" w:rsidRPr="002F663C" w:rsidP="002F663C" w14:paraId="31CDCB95" w14:textId="77777777">
      <w:pPr>
        <w:rPr>
          <w:rFonts w:eastAsia="Calibri" w:cs="Times New Roman"/>
        </w:rPr>
      </w:pPr>
    </w:p>
    <w:p w:rsidR="002F663C" w:rsidRPr="002F663C" w:rsidP="002F663C" w14:paraId="3F07EC8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Changes to the Common Names for Ingredients and Components document</w:t>
      </w:r>
    </w:p>
    <w:p w:rsidR="002F663C" w:rsidRPr="002F663C" w:rsidP="002F663C" w14:paraId="2E09788B"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F14BB3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C62384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E7E2B8A" w14:textId="77777777" w:rsidTr="00E9471B">
        <w:tblPrEx>
          <w:tblW w:w="9049" w:type="dxa"/>
          <w:tblLayout w:type="fixed"/>
          <w:tblLook w:val="04A0"/>
        </w:tblPrEx>
        <w:tc>
          <w:tcPr>
            <w:tcW w:w="851" w:type="dxa"/>
          </w:tcPr>
          <w:p w:rsidR="002F663C" w:rsidRPr="00711F9C" w:rsidP="00C14444" w14:paraId="795F80F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FE2E52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3317EEA" w14:textId="77777777" w:rsidTr="00E9471B">
        <w:tblPrEx>
          <w:tblW w:w="9049" w:type="dxa"/>
          <w:tblLayout w:type="fixed"/>
          <w:tblLook w:val="04A0"/>
        </w:tblPrEx>
        <w:tc>
          <w:tcPr>
            <w:tcW w:w="851" w:type="dxa"/>
          </w:tcPr>
          <w:p w:rsidR="002F663C" w:rsidRPr="00711F9C" w:rsidP="00C14444" w14:paraId="6959183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A02A99C"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11 February 2026</w:t>
            </w:r>
          </w:p>
        </w:tc>
      </w:tr>
      <w:tr w14:paraId="5D1348D3" w14:textId="77777777" w:rsidTr="00E9471B">
        <w:tblPrEx>
          <w:tblW w:w="9049" w:type="dxa"/>
          <w:tblLayout w:type="fixed"/>
          <w:tblLook w:val="04A0"/>
        </w:tblPrEx>
        <w:tc>
          <w:tcPr>
            <w:tcW w:w="851" w:type="dxa"/>
          </w:tcPr>
          <w:p w:rsidR="002F663C" w:rsidRPr="00711F9C" w:rsidP="00C14444" w14:paraId="4CDECE8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AA5935E"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11 February 2026</w:t>
            </w:r>
          </w:p>
        </w:tc>
      </w:tr>
      <w:tr w14:paraId="62B36038" w14:textId="77777777" w:rsidTr="00E9471B">
        <w:tblPrEx>
          <w:tblW w:w="9049" w:type="dxa"/>
          <w:tblLayout w:type="fixed"/>
          <w:tblLook w:val="04A0"/>
        </w:tblPrEx>
        <w:tc>
          <w:tcPr>
            <w:tcW w:w="851" w:type="dxa"/>
          </w:tcPr>
          <w:p w:rsidR="002F663C" w:rsidRPr="00711F9C" w:rsidP="00C14444" w14:paraId="47DDB20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F03752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11 February 2026</w:t>
            </w:r>
          </w:p>
        </w:tc>
      </w:tr>
      <w:tr w14:paraId="2CF949C0" w14:textId="77777777" w:rsidTr="00E9471B">
        <w:tblPrEx>
          <w:tblW w:w="9049" w:type="dxa"/>
          <w:tblLayout w:type="fixed"/>
          <w:tblLook w:val="04A0"/>
        </w:tblPrEx>
        <w:tc>
          <w:tcPr>
            <w:tcW w:w="851" w:type="dxa"/>
          </w:tcPr>
          <w:p w:rsidR="002F663C" w:rsidRPr="00711F9C" w:rsidP="00C14444" w14:paraId="167F1D8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59BE3E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88339C2" w14:textId="77777777">
            <w:pPr>
              <w:spacing w:before="120" w:after="120"/>
              <w:rPr>
                <w:rFonts w:eastAsia="Calibri" w:cs="Times New Roman"/>
              </w:rPr>
            </w:pPr>
            <w:hyperlink r:id="rId6" w:tgtFrame="_blank" w:history="1">
              <w:r w:rsidRPr="002F663C">
                <w:rPr>
                  <w:rFonts w:eastAsia="Calibri" w:cs="Times New Roman"/>
                  <w:color w:val="0000FF"/>
                  <w:u w:val="single"/>
                </w:rPr>
                <w:t>https://inspection.canada.ca/en/about-cfia/acts-and-regulations/list-acts-and-regulations/documents-incorporated-reference/common-names-ingredients-and-components</w:t>
              </w:r>
            </w:hyperlink>
          </w:p>
          <w:p w:rsidR="002F663C" w:rsidRPr="002F663C" w:rsidP="00EB7B40" w14:paraId="0D4BB8B2" w14:textId="77777777">
            <w:pPr>
              <w:spacing w:before="120" w:after="120"/>
              <w:rPr>
                <w:rFonts w:eastAsia="Calibri" w:cs="Times New Roman"/>
              </w:rPr>
            </w:pPr>
            <w:r w:rsidRPr="002F663C">
              <w:rPr>
                <w:rFonts w:eastAsia="Calibri" w:cs="Times New Roman"/>
              </w:rPr>
              <w:t>The transition period begins February 11, 2026, and ends on January 1, 2030</w:t>
            </w:r>
          </w:p>
        </w:tc>
      </w:tr>
      <w:tr w14:paraId="298753E1" w14:textId="77777777" w:rsidTr="00E9471B">
        <w:tblPrEx>
          <w:tblW w:w="9049" w:type="dxa"/>
          <w:tblLayout w:type="fixed"/>
          <w:tblLook w:val="04A0"/>
        </w:tblPrEx>
        <w:tc>
          <w:tcPr>
            <w:tcW w:w="851" w:type="dxa"/>
          </w:tcPr>
          <w:p w:rsidR="002F663C" w:rsidRPr="00711F9C" w:rsidP="00C14444" w14:paraId="728F105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573697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7A113F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2913CEC" w14:textId="77777777" w:rsidTr="00E9471B">
        <w:tblPrEx>
          <w:tblW w:w="9049" w:type="dxa"/>
          <w:tblLayout w:type="fixed"/>
          <w:tblLook w:val="04A0"/>
        </w:tblPrEx>
        <w:tc>
          <w:tcPr>
            <w:tcW w:w="851" w:type="dxa"/>
          </w:tcPr>
          <w:p w:rsidR="002F663C" w:rsidRPr="00711F9C" w:rsidP="00C14444" w14:paraId="47A9A93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2CD91F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364F17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6A46F09" w14:textId="77777777" w:rsidTr="00E9471B">
        <w:tblPrEx>
          <w:tblW w:w="9049" w:type="dxa"/>
          <w:tblLayout w:type="fixed"/>
          <w:tblLook w:val="04A0"/>
        </w:tblPrEx>
        <w:tc>
          <w:tcPr>
            <w:tcW w:w="851" w:type="dxa"/>
          </w:tcPr>
          <w:p w:rsidR="002F663C" w:rsidRPr="00711F9C" w:rsidP="00C14444" w14:paraId="58DB14E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7BCF23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BEE97A3" w14:textId="77777777" w:rsidTr="00E9471B">
        <w:tblPrEx>
          <w:tblW w:w="9049" w:type="dxa"/>
          <w:tblLayout w:type="fixed"/>
          <w:tblLook w:val="04A0"/>
        </w:tblPrEx>
        <w:tc>
          <w:tcPr>
            <w:tcW w:w="851" w:type="dxa"/>
            <w:tcBorders>
              <w:bottom w:val="double" w:sz="4" w:space="0" w:color="auto"/>
            </w:tcBorders>
          </w:tcPr>
          <w:p w:rsidR="002F663C" w:rsidRPr="00711F9C" w:rsidP="00C14444" w14:paraId="7D44844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894B4F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B3BF505" w14:textId="77777777">
      <w:pPr>
        <w:jc w:val="left"/>
        <w:rPr>
          <w:rFonts w:eastAsia="Calibri" w:cs="Times New Roman"/>
          <w:highlight w:val="yellow"/>
        </w:rPr>
      </w:pPr>
    </w:p>
    <w:p w:rsidR="003971FF" w:rsidRPr="007F6EA2" w:rsidP="00B16ACF" w14:paraId="2633B27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Ingredients and components must be shown in the list of ingredients on food labels by their common names. For certain ingredients and components, there is an option to use a common name for the class of foods they belong to instead of their individual common names. </w:t>
      </w:r>
    </w:p>
    <w:p w:rsidR="00800362" w:rsidRPr="002F663C" w:rsidP="00B16ACF" w14:paraId="28530794" w14:textId="77777777">
      <w:pPr>
        <w:spacing w:before="120" w:after="120"/>
        <w:rPr>
          <w:rFonts w:eastAsia="Calibri" w:cs="Times New Roman"/>
          <w:szCs w:val="18"/>
        </w:rPr>
      </w:pPr>
      <w:r w:rsidRPr="002F663C">
        <w:rPr>
          <w:rFonts w:eastAsia="Calibri" w:cs="Times New Roman"/>
          <w:szCs w:val="18"/>
        </w:rPr>
        <w:t xml:space="preserve">The optional common names for certain classes of ingredients are set out in Table 2 of the Common Names for Ingredients and Components document, which is incorporated by reference in the </w:t>
      </w:r>
      <w:r w:rsidRPr="002F663C">
        <w:rPr>
          <w:rFonts w:eastAsia="Calibri" w:cs="Times New Roman"/>
          <w:i/>
          <w:iCs/>
          <w:szCs w:val="18"/>
        </w:rPr>
        <w:t xml:space="preserve">Food and Drug Regulations </w:t>
      </w:r>
      <w:r w:rsidRPr="002F663C">
        <w:rPr>
          <w:rFonts w:eastAsia="Calibri" w:cs="Times New Roman"/>
          <w:szCs w:val="18"/>
        </w:rPr>
        <w:t>(FDR).</w:t>
      </w:r>
    </w:p>
    <w:p w:rsidR="00800362" w:rsidRPr="002F663C" w:rsidP="00B16ACF" w14:paraId="14568C04" w14:textId="77777777">
      <w:pPr>
        <w:spacing w:before="120" w:after="120"/>
        <w:rPr>
          <w:rFonts w:eastAsia="Calibri" w:cs="Times New Roman"/>
          <w:szCs w:val="18"/>
        </w:rPr>
      </w:pPr>
      <w:r w:rsidRPr="002F663C">
        <w:rPr>
          <w:rFonts w:eastAsia="Calibri" w:cs="Times New Roman"/>
          <w:szCs w:val="18"/>
        </w:rPr>
        <w:t>The Canadian Food Inspection Agency (CFIA) consulted on proposed changes to the ingredients or components that are allowed to use the common name "milk ingredients" or "modified milk ingredients" in the list of ingredients on a food label.</w:t>
      </w:r>
    </w:p>
    <w:p w:rsidR="00800362" w:rsidRPr="002F663C" w:rsidP="00B16ACF" w14:paraId="5746215C" w14:textId="77777777">
      <w:pPr>
        <w:spacing w:before="120" w:after="120"/>
        <w:rPr>
          <w:rFonts w:eastAsia="Calibri" w:cs="Times New Roman"/>
          <w:szCs w:val="18"/>
        </w:rPr>
      </w:pPr>
      <w:r w:rsidRPr="002F663C">
        <w:rPr>
          <w:rFonts w:eastAsia="Calibri" w:cs="Times New Roman"/>
          <w:szCs w:val="18"/>
        </w:rPr>
        <w:t>Following the WTO notification G/TBT/N/CAN/749 with a final date for comments ending on October 21, 2025, the proposed amendments to the document incorporated by reference titled "Common Names for Ingredients and Components" were adopted. They will be published and available to use on February 11, 2026 with a transition period ending on January 1, 2030. These changes include:</w:t>
      </w:r>
    </w:p>
    <w:p w:rsidR="00800362" w:rsidRPr="002F663C" w:rsidP="00B16ACF" w14:paraId="387AB132" w14:textId="77777777">
      <w:pPr>
        <w:numPr>
          <w:ilvl w:val="0"/>
          <w:numId w:val="17"/>
        </w:numPr>
        <w:spacing w:before="120" w:after="120"/>
        <w:rPr>
          <w:rFonts w:eastAsia="Calibri" w:cs="Times New Roman"/>
          <w:szCs w:val="18"/>
        </w:rPr>
      </w:pPr>
      <w:r w:rsidRPr="002F663C">
        <w:rPr>
          <w:rFonts w:eastAsia="Calibri" w:cs="Times New Roman"/>
          <w:szCs w:val="18"/>
        </w:rPr>
        <w:t>revising the common name "modified milk ingredients" to "milk-derived ingredients" and "substance laitières modifiées" to "ingrédients dérivés du lait"</w:t>
      </w:r>
    </w:p>
    <w:p w:rsidR="00800362" w:rsidRPr="002F663C" w:rsidP="00B16ACF" w14:paraId="55EC9EC8" w14:textId="77777777">
      <w:pPr>
        <w:numPr>
          <w:ilvl w:val="0"/>
          <w:numId w:val="17"/>
        </w:numPr>
        <w:spacing w:before="120" w:after="120"/>
        <w:rPr>
          <w:rFonts w:eastAsia="Calibri" w:cs="Times New Roman"/>
          <w:szCs w:val="18"/>
        </w:rPr>
      </w:pPr>
      <w:r w:rsidRPr="002F663C">
        <w:rPr>
          <w:rFonts w:eastAsia="Calibri" w:cs="Times New Roman"/>
          <w:szCs w:val="18"/>
        </w:rPr>
        <w:t>the French common name from "substances laitières" to "ingrédients du lait"</w:t>
      </w:r>
    </w:p>
    <w:p w:rsidR="00800362" w:rsidRPr="002F663C" w:rsidP="00B16ACF" w14:paraId="719453C4" w14:textId="77777777">
      <w:pPr>
        <w:numPr>
          <w:ilvl w:val="0"/>
          <w:numId w:val="17"/>
        </w:numPr>
        <w:spacing w:before="120" w:after="120"/>
        <w:rPr>
          <w:rFonts w:eastAsia="Calibri" w:cs="Times New Roman"/>
          <w:szCs w:val="18"/>
        </w:rPr>
      </w:pPr>
      <w:r w:rsidRPr="002F663C">
        <w:rPr>
          <w:rFonts w:eastAsia="Calibri" w:cs="Times New Roman"/>
          <w:szCs w:val="18"/>
        </w:rPr>
        <w:t>the ingredients or components that are allowed to use the common name "milk ingredients" and "modified milk ingredients."</w:t>
      </w:r>
    </w:p>
    <w:p w:rsidR="00800362" w:rsidRPr="002F663C" w:rsidP="00B16ACF" w14:paraId="625E82BB" w14:textId="77777777">
      <w:pPr>
        <w:spacing w:before="120" w:after="120"/>
        <w:rPr>
          <w:rFonts w:eastAsia="Calibri" w:cs="Times New Roman"/>
          <w:szCs w:val="18"/>
        </w:rPr>
      </w:pPr>
      <w:r w:rsidRPr="002F663C">
        <w:rPr>
          <w:rFonts w:eastAsia="Calibri" w:cs="Times New Roman"/>
          <w:szCs w:val="18"/>
        </w:rPr>
        <w:t>During the transition period, regulated parties may comply with either the previous or new labelling requirements.</w:t>
      </w:r>
    </w:p>
    <w:p w:rsidR="006C5A96" w:rsidP="006C5A96" w14:paraId="5ECA3BF0" w14:textId="77777777">
      <w:pPr>
        <w:jc w:val="center"/>
        <w:rPr>
          <w:b/>
        </w:rPr>
      </w:pPr>
      <w:r w:rsidRPr="003971FF">
        <w:rPr>
          <w:b/>
        </w:rPr>
        <w:t>__________</w:t>
      </w:r>
    </w:p>
    <w:p w:rsidR="004D4D19" w:rsidP="007F38C2" w14:paraId="0F6A57A2" w14:textId="77777777">
      <w:pPr>
        <w:jc w:val="center"/>
        <w:rPr>
          <w:b/>
        </w:rPr>
      </w:pPr>
    </w:p>
    <w:p w:rsidR="00A1565D" w:rsidP="003971FF" w14:paraId="7DB09579" w14:textId="77777777">
      <w:pPr>
        <w:jc w:val="cente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34D2E8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585D55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DF1A39C" w14:textId="77777777">
      <w:r>
        <w:separator/>
      </w:r>
    </w:p>
  </w:footnote>
  <w:footnote w:type="continuationSeparator" w:id="1">
    <w:p w:rsidR="004D3A6A" w:rsidP="00ED54E0" w14:paraId="0B5792E3" w14:textId="77777777">
      <w:r>
        <w:continuationSeparator/>
      </w:r>
    </w:p>
  </w:footnote>
  <w:footnote w:id="2">
    <w:p w:rsidR="007F6EA2" w14:paraId="11D8141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725A53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A406CEC" w14:textId="77777777">
    <w:pPr>
      <w:pStyle w:val="Header"/>
      <w:pBdr>
        <w:bottom w:val="single" w:sz="4" w:space="1" w:color="auto"/>
      </w:pBdr>
      <w:tabs>
        <w:tab w:val="clear" w:pos="4513"/>
        <w:tab w:val="clear" w:pos="9027"/>
      </w:tabs>
      <w:jc w:val="center"/>
    </w:pPr>
  </w:p>
  <w:p w:rsidR="00DD3DD7" w:rsidRPr="00DD3DD7" w:rsidP="00DD3DD7" w14:paraId="749F852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6C521A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CCED4FE" w14:textId="77777777">
    <w:pPr>
      <w:pStyle w:val="Header"/>
      <w:pBdr>
        <w:bottom w:val="single" w:sz="4" w:space="1" w:color="auto"/>
      </w:pBdr>
      <w:tabs>
        <w:tab w:val="clear" w:pos="4513"/>
        <w:tab w:val="clear" w:pos="9027"/>
      </w:tabs>
      <w:jc w:val="center"/>
    </w:pPr>
    <w:bookmarkStart w:id="3" w:name="spsSymbolHeader"/>
    <w:r w:rsidRPr="00DD3DD7">
      <w:t>G/TBT/N/CAN/749/Add.1</w:t>
    </w:r>
    <w:bookmarkEnd w:id="3"/>
  </w:p>
  <w:p w:rsidR="00DD3DD7" w:rsidRPr="00DD3DD7" w:rsidP="00DD3DD7" w14:paraId="05CDEC51" w14:textId="77777777">
    <w:pPr>
      <w:pStyle w:val="Header"/>
      <w:pBdr>
        <w:bottom w:val="single" w:sz="4" w:space="1" w:color="auto"/>
      </w:pBdr>
      <w:tabs>
        <w:tab w:val="clear" w:pos="4513"/>
        <w:tab w:val="clear" w:pos="9027"/>
      </w:tabs>
      <w:jc w:val="center"/>
    </w:pPr>
  </w:p>
  <w:p w:rsidR="00DD3DD7" w:rsidRPr="00DD3DD7" w:rsidP="00DD3DD7" w14:paraId="47EFA35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F58FD4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87239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7D5718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270A56D" w14:textId="77777777">
          <w:pPr>
            <w:jc w:val="right"/>
            <w:rPr>
              <w:b/>
              <w:color w:val="FF0000"/>
              <w:szCs w:val="16"/>
            </w:rPr>
          </w:pPr>
          <w:r>
            <w:rPr>
              <w:b/>
              <w:color w:val="FF0000"/>
              <w:szCs w:val="16"/>
            </w:rPr>
            <w:t xml:space="preserve"> </w:t>
          </w:r>
        </w:p>
      </w:tc>
    </w:tr>
    <w:tr w14:paraId="2EFD864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96CF4E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3FD1438" w14:textId="77777777">
          <w:pPr>
            <w:jc w:val="right"/>
            <w:rPr>
              <w:b/>
              <w:szCs w:val="16"/>
            </w:rPr>
          </w:pPr>
        </w:p>
      </w:tc>
    </w:tr>
    <w:tr w14:paraId="2E9AC55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F162FA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12E36C4" w14:textId="77777777">
          <w:pPr>
            <w:jc w:val="right"/>
            <w:rPr>
              <w:rFonts w:eastAsia="Calibri" w:cs="Times New Roman"/>
              <w:b/>
              <w:szCs w:val="16"/>
            </w:rPr>
          </w:pPr>
          <w:bookmarkStart w:id="4" w:name="bmkSymbols"/>
          <w:r w:rsidRPr="002F663C">
            <w:rPr>
              <w:rFonts w:eastAsia="Calibri" w:cs="Times New Roman"/>
              <w:b/>
              <w:szCs w:val="16"/>
            </w:rPr>
            <w:t>G/TBT/N/CAN/749/Add.1</w:t>
          </w:r>
          <w:bookmarkEnd w:id="4"/>
        </w:p>
        <w:p w:rsidR="00C14444" w:rsidRPr="00C14444" w:rsidP="00C14444" w14:paraId="04F7B9AD" w14:textId="77777777">
          <w:pPr>
            <w:jc w:val="center"/>
            <w:rPr>
              <w:szCs w:val="16"/>
            </w:rPr>
          </w:pPr>
        </w:p>
      </w:tc>
    </w:tr>
    <w:tr w14:paraId="2EC6830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2925E60" w14:textId="77777777"/>
      </w:tc>
      <w:tc>
        <w:tcPr>
          <w:tcW w:w="5448" w:type="dxa"/>
          <w:gridSpan w:val="2"/>
          <w:shd w:val="clear" w:color="auto" w:fill="FFFFFF"/>
          <w:tcMar>
            <w:left w:w="108" w:type="dxa"/>
            <w:right w:w="108" w:type="dxa"/>
          </w:tcMar>
          <w:vAlign w:val="center"/>
        </w:tcPr>
        <w:p w:rsidR="00ED54E0" w:rsidRPr="00182B84" w:rsidP="00425DC5" w14:paraId="443B3755" w14:textId="77777777">
          <w:pPr>
            <w:jc w:val="right"/>
            <w:rPr>
              <w:szCs w:val="16"/>
            </w:rPr>
          </w:pPr>
          <w:bookmarkStart w:id="5" w:name="bmkDate"/>
          <w:r w:rsidRPr="00182B84">
            <w:rPr>
              <w:szCs w:val="16"/>
            </w:rPr>
            <w:t>18 February 2026</w:t>
          </w:r>
          <w:bookmarkEnd w:id="5"/>
        </w:p>
      </w:tc>
    </w:tr>
    <w:tr w14:paraId="549168E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09DC1DF" w14:textId="77777777">
          <w:pPr>
            <w:jc w:val="left"/>
            <w:rPr>
              <w:b/>
            </w:rPr>
          </w:pPr>
          <w:bookmarkStart w:id="6" w:name="bmkSerial"/>
          <w:r>
            <w:rPr>
              <w:rFonts w:ascii="Verdana" w:eastAsia="Verdana" w:hAnsi="Verdana" w:cs="Verdana"/>
              <w:b w:val="0"/>
              <w:color w:val="FF0000"/>
              <w:sz w:val="18"/>
            </w:rPr>
            <w:t>(26-1143)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F23341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EF3E13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97197D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5DB08F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6D13F3F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33778362">
    <w:abstractNumId w:val="9"/>
  </w:num>
  <w:num w:numId="2" w16cid:durableId="1752191057">
    <w:abstractNumId w:val="7"/>
  </w:num>
  <w:num w:numId="3" w16cid:durableId="328754054">
    <w:abstractNumId w:val="6"/>
  </w:num>
  <w:num w:numId="4" w16cid:durableId="452138253">
    <w:abstractNumId w:val="5"/>
  </w:num>
  <w:num w:numId="5" w16cid:durableId="1564557874">
    <w:abstractNumId w:val="4"/>
  </w:num>
  <w:num w:numId="6" w16cid:durableId="522090912">
    <w:abstractNumId w:val="12"/>
  </w:num>
  <w:num w:numId="7" w16cid:durableId="2100641895">
    <w:abstractNumId w:val="11"/>
  </w:num>
  <w:num w:numId="8" w16cid:durableId="1111513002">
    <w:abstractNumId w:val="10"/>
  </w:num>
  <w:num w:numId="9" w16cid:durableId="10059377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2838862">
    <w:abstractNumId w:val="13"/>
  </w:num>
  <w:num w:numId="11" w16cid:durableId="350227003">
    <w:abstractNumId w:val="8"/>
  </w:num>
  <w:num w:numId="12" w16cid:durableId="1142695360">
    <w:abstractNumId w:val="3"/>
  </w:num>
  <w:num w:numId="13" w16cid:durableId="1948151888">
    <w:abstractNumId w:val="2"/>
  </w:num>
  <w:num w:numId="14" w16cid:durableId="2072658619">
    <w:abstractNumId w:val="1"/>
  </w:num>
  <w:num w:numId="15" w16cid:durableId="1824008185">
    <w:abstractNumId w:val="0"/>
  </w:num>
  <w:num w:numId="16" w16cid:durableId="143216319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4625042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471CE"/>
    <w:rsid w:val="007577E3"/>
    <w:rsid w:val="00760003"/>
    <w:rsid w:val="00760DB3"/>
    <w:rsid w:val="00771C40"/>
    <w:rsid w:val="007755FC"/>
    <w:rsid w:val="00782B32"/>
    <w:rsid w:val="00782EF4"/>
    <w:rsid w:val="00787DBC"/>
    <w:rsid w:val="007A1BFD"/>
    <w:rsid w:val="007B3D3F"/>
    <w:rsid w:val="007E4954"/>
    <w:rsid w:val="007E6507"/>
    <w:rsid w:val="007F2B8E"/>
    <w:rsid w:val="007F32D1"/>
    <w:rsid w:val="007F38C2"/>
    <w:rsid w:val="007F6EA2"/>
    <w:rsid w:val="0080036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A69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inspection.canada.ca/en/about-cfia/acts-and-regulations/list-acts-and-regulations/documents-incorporated-reference/common-names-ingredients-and-components"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2026-02-18T09:09:00Z</dcterms:created>
  <dcterms:modified xsi:type="dcterms:W3CDTF">2026-02-18T09:09:00Z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