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E0136BC" w14:textId="77777777">
      <w:pPr>
        <w:pStyle w:val="Title"/>
        <w:rPr>
          <w:caps w:val="0"/>
          <w:kern w:val="0"/>
        </w:rPr>
      </w:pPr>
      <w:r w:rsidRPr="002F6A28">
        <w:rPr>
          <w:caps w:val="0"/>
          <w:kern w:val="0"/>
        </w:rPr>
        <w:t>NOTIFICATION</w:t>
      </w:r>
    </w:p>
    <w:p w:rsidR="009239F7" w:rsidRPr="002F6A28" w:rsidP="002F6A28" w14:paraId="6F9DAE66" w14:textId="77777777">
      <w:pPr>
        <w:jc w:val="center"/>
      </w:pPr>
      <w:r w:rsidRPr="002F6A28">
        <w:t>The following notification is being circulated in accordance with Article 10.6</w:t>
      </w:r>
    </w:p>
    <w:p w:rsidR="009239F7" w:rsidRPr="002F6A28" w:rsidP="002F6A28" w14:paraId="0F3872AC"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BA6BBCB" w14:textId="77777777" w:rsidTr="00DB13FE">
        <w:tblPrEx>
          <w:tblW w:w="5000" w:type="pct"/>
          <w:tblLayout w:type="fixed"/>
          <w:tblLook w:val="0000"/>
        </w:tblPrEx>
        <w:tc>
          <w:tcPr>
            <w:tcW w:w="607" w:type="dxa"/>
            <w:tcBorders>
              <w:top w:val="double" w:sz="4" w:space="0" w:color="auto"/>
            </w:tcBorders>
          </w:tcPr>
          <w:p w:rsidR="00F85C99" w:rsidRPr="002F6A28" w:rsidP="002F6A28" w14:paraId="0393EE74"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D2F93EF"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054B0FB8"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DBE2054" w14:textId="77777777" w:rsidTr="00DB13FE">
        <w:tblPrEx>
          <w:tblW w:w="5000" w:type="pct"/>
          <w:tblLayout w:type="fixed"/>
          <w:tblLook w:val="0000"/>
        </w:tblPrEx>
        <w:tc>
          <w:tcPr>
            <w:tcW w:w="607" w:type="dxa"/>
          </w:tcPr>
          <w:p w:rsidR="00F85C99" w:rsidRPr="002F6A28" w:rsidP="002F6A28" w14:paraId="367F2C32" w14:textId="77777777">
            <w:pPr>
              <w:spacing w:before="120" w:after="120"/>
              <w:jc w:val="left"/>
            </w:pPr>
            <w:r w:rsidRPr="002F6A28">
              <w:rPr>
                <w:b/>
              </w:rPr>
              <w:t>2.</w:t>
            </w:r>
          </w:p>
        </w:tc>
        <w:tc>
          <w:tcPr>
            <w:tcW w:w="8373" w:type="dxa"/>
          </w:tcPr>
          <w:p w:rsidR="00F85C99" w:rsidRPr="002F6A28" w:rsidP="000C3B6C" w14:paraId="47CF3EA6" w14:textId="77777777">
            <w:pPr>
              <w:spacing w:before="120" w:after="120"/>
            </w:pPr>
            <w:r w:rsidRPr="002F6A28">
              <w:rPr>
                <w:b/>
              </w:rPr>
              <w:t>Agency responsible:</w:t>
            </w:r>
            <w:r w:rsidRPr="00C379C8" w:rsidR="00EE3A11">
              <w:t xml:space="preserve"> </w:t>
            </w:r>
          </w:p>
          <w:p w:rsidR="00EE3A11" w:rsidRPr="00C379C8" w:rsidP="000C3B6C" w14:paraId="74A340E4" w14:textId="77777777">
            <w:r w:rsidRPr="00C379C8">
              <w:t>European Commission</w:t>
            </w:r>
          </w:p>
          <w:p w:rsidR="00EE3A11" w:rsidRPr="00C379C8" w:rsidP="000C3B6C" w14:paraId="35FD5BD2" w14:textId="77777777">
            <w:r w:rsidRPr="00C379C8">
              <w:t>EU-TBT Enquiry Point,</w:t>
            </w:r>
          </w:p>
          <w:p w:rsidR="00EE3A11" w:rsidRPr="00C379C8" w:rsidP="000C3B6C" w14:paraId="53B85DD5" w14:textId="77777777">
            <w:r w:rsidRPr="00C379C8">
              <w:t>Fax: +(32) 2 299 80 43,</w:t>
            </w:r>
          </w:p>
          <w:p w:rsidR="00EE3A11" w:rsidRPr="00C379C8" w:rsidP="000C3B6C" w14:paraId="62F48659" w14:textId="77777777">
            <w:r w:rsidRPr="00C379C8">
              <w:t xml:space="preserve">E-mail: </w:t>
            </w:r>
            <w:hyperlink r:id="rId6" w:history="1">
              <w:r w:rsidRPr="00C379C8">
                <w:rPr>
                  <w:color w:val="0000FF"/>
                  <w:u w:val="single"/>
                </w:rPr>
                <w:t>grow-eu-tbt@ec.europa.eu</w:t>
              </w:r>
            </w:hyperlink>
          </w:p>
          <w:p w:rsidR="00EE3A11" w:rsidRPr="00C379C8" w:rsidP="000C3B6C" w14:paraId="59D2F998" w14:textId="77777777">
            <w:pPr>
              <w:spacing w:after="120"/>
            </w:pPr>
            <w:r w:rsidRPr="00C379C8">
              <w:t xml:space="preserve">Website: </w:t>
            </w:r>
            <w:hyperlink r:id="rId7" w:tgtFrame="_blank" w:history="1">
              <w:r w:rsidRPr="00C379C8">
                <w:rPr>
                  <w:color w:val="0000FF"/>
                  <w:u w:val="single"/>
                </w:rPr>
                <w:t>https://technical-barriers-trade.ec.europa.eu/en/home</w:t>
              </w:r>
            </w:hyperlink>
          </w:p>
        </w:tc>
      </w:tr>
      <w:tr w14:paraId="42534DAC" w14:textId="77777777" w:rsidTr="00DB13FE">
        <w:tblPrEx>
          <w:tblW w:w="5000" w:type="pct"/>
          <w:tblLayout w:type="fixed"/>
          <w:tblLook w:val="0000"/>
        </w:tblPrEx>
        <w:tc>
          <w:tcPr>
            <w:tcW w:w="607" w:type="dxa"/>
          </w:tcPr>
          <w:p w:rsidR="00F85C99" w:rsidRPr="002F6A28" w:rsidP="002F6A28" w14:paraId="51EADD67" w14:textId="77777777">
            <w:pPr>
              <w:spacing w:before="120" w:after="120"/>
              <w:jc w:val="left"/>
              <w:rPr>
                <w:b/>
              </w:rPr>
            </w:pPr>
            <w:r w:rsidRPr="002F6A28">
              <w:rPr>
                <w:b/>
              </w:rPr>
              <w:t>3.</w:t>
            </w:r>
          </w:p>
        </w:tc>
        <w:tc>
          <w:tcPr>
            <w:tcW w:w="8373" w:type="dxa"/>
          </w:tcPr>
          <w:p w:rsidR="00F85C99" w:rsidRPr="0058336F" w:rsidP="002F6A28" w14:paraId="3A3C9CAC"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D3534DF" w14:textId="77777777" w:rsidTr="00DB13FE">
        <w:tblPrEx>
          <w:tblW w:w="5000" w:type="pct"/>
          <w:tblLayout w:type="fixed"/>
          <w:tblLook w:val="0000"/>
        </w:tblPrEx>
        <w:tc>
          <w:tcPr>
            <w:tcW w:w="607" w:type="dxa"/>
          </w:tcPr>
          <w:p w:rsidR="00F85C99" w:rsidRPr="002F6A28" w:rsidP="002F6A28" w14:paraId="10D79B80" w14:textId="77777777">
            <w:pPr>
              <w:spacing w:before="120" w:after="120"/>
              <w:jc w:val="left"/>
            </w:pPr>
            <w:r w:rsidRPr="002F6A28">
              <w:rPr>
                <w:b/>
              </w:rPr>
              <w:t>4.</w:t>
            </w:r>
          </w:p>
        </w:tc>
        <w:tc>
          <w:tcPr>
            <w:tcW w:w="8373" w:type="dxa"/>
          </w:tcPr>
          <w:p w:rsidR="00F85C99" w:rsidRPr="002F6A28" w:rsidP="002F6A28" w14:paraId="3A75331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Trucks and buses (motor vehicles of categories M3, N2 and N3)</w:t>
            </w:r>
          </w:p>
        </w:tc>
      </w:tr>
      <w:tr w14:paraId="08C32D31" w14:textId="77777777" w:rsidTr="00DB13FE">
        <w:tblPrEx>
          <w:tblW w:w="5000" w:type="pct"/>
          <w:tblLayout w:type="fixed"/>
          <w:tblLook w:val="0000"/>
        </w:tblPrEx>
        <w:tc>
          <w:tcPr>
            <w:tcW w:w="607" w:type="dxa"/>
          </w:tcPr>
          <w:p w:rsidR="00F85C99" w:rsidRPr="002F6A28" w:rsidP="002F6A28" w14:paraId="3D3A281A" w14:textId="77777777">
            <w:pPr>
              <w:spacing w:before="120" w:after="120"/>
              <w:jc w:val="left"/>
            </w:pPr>
            <w:r w:rsidRPr="002F6A28">
              <w:rPr>
                <w:b/>
              </w:rPr>
              <w:t>5.</w:t>
            </w:r>
          </w:p>
        </w:tc>
        <w:tc>
          <w:tcPr>
            <w:tcW w:w="8373" w:type="dxa"/>
          </w:tcPr>
          <w:p w:rsidR="00F85C99" w:rsidP="002F6A28" w14:paraId="7B21462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Commission Delegated amending Regulation (EU) 2024/1257 of the European Parliament and of the Council as regards setting out durability multipliers for gaseous pollutants of heavy-duty vehicles of categories M3, N2 and N3; (4 page(s), in English), (2 page(s), in English)</w:t>
            </w:r>
          </w:p>
          <w:p w:rsidR="000C3B6C" w:rsidRPr="000C3B6C" w:rsidP="002F6A28" w14:paraId="468D6F22"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FD7A78" w:rsidRPr="00CE6C29" w:rsidP="002F6A28" w14:paraId="3AED35E8" w14:textId="77777777">
            <w:pPr>
              <w:pBdr>
                <w:top w:val="none" w:sz="0" w:space="4" w:color="auto"/>
              </w:pBdr>
              <w:rPr>
                <w:iCs/>
              </w:rPr>
            </w:pPr>
            <w:hyperlink r:id="rId8" w:tgtFrame="_blank" w:history="1">
              <w:r w:rsidRPr="00CE6C29">
                <w:rPr>
                  <w:iCs/>
                  <w:color w:val="0000FF"/>
                  <w:u w:val="single"/>
                </w:rPr>
                <w:t>https://members.wto.org/crnattachments/2026/TBT/EEC/26_00954_00_e.pdf</w:t>
              </w:r>
            </w:hyperlink>
          </w:p>
          <w:p w:rsidR="00FD7A78" w:rsidRPr="00CE6C29" w:rsidP="002F6A28" w14:paraId="3939D4DB" w14:textId="77777777">
            <w:pPr>
              <w:pBdr>
                <w:bottom w:val="none" w:sz="0" w:space="4" w:color="auto"/>
              </w:pBdr>
              <w:rPr>
                <w:iCs/>
              </w:rPr>
            </w:pPr>
            <w:hyperlink r:id="rId9" w:tgtFrame="_blank" w:history="1">
              <w:r w:rsidRPr="00CE6C29">
                <w:rPr>
                  <w:iCs/>
                  <w:color w:val="0000FF"/>
                  <w:u w:val="single"/>
                </w:rPr>
                <w:t>https://members.wto.org/crnattachments/2026/TBT/EEC/26_00954_01_e.pdf</w:t>
              </w:r>
            </w:hyperlink>
          </w:p>
          <w:p w:rsidR="00FD7A78" w:rsidRPr="00CE6C29" w:rsidP="002F6A28" w14:paraId="7AA7ABA6" w14:textId="77777777">
            <w:pPr>
              <w:rPr>
                <w:iCs/>
              </w:rPr>
            </w:pPr>
            <w:r w:rsidRPr="00CE6C29">
              <w:rPr>
                <w:iCs/>
              </w:rPr>
              <w:t>European Commission</w:t>
            </w:r>
          </w:p>
          <w:p w:rsidR="00FD7A78" w:rsidRPr="00CE6C29" w:rsidP="002F6A28" w14:paraId="0D70F432" w14:textId="77777777">
            <w:pPr>
              <w:rPr>
                <w:iCs/>
              </w:rPr>
            </w:pPr>
            <w:r w:rsidRPr="00CE6C29">
              <w:rPr>
                <w:iCs/>
              </w:rPr>
              <w:t>EU-TBT Enquiry Point</w:t>
            </w:r>
          </w:p>
          <w:p w:rsidR="00FD7A78" w:rsidRPr="00CE6C29" w:rsidP="002F6A28" w14:paraId="4154E36D" w14:textId="77777777">
            <w:pPr>
              <w:rPr>
                <w:iCs/>
              </w:rPr>
            </w:pPr>
            <w:r w:rsidRPr="00CE6C29">
              <w:rPr>
                <w:iCs/>
              </w:rPr>
              <w:t>Fax: + (32) 2 299 80 43</w:t>
            </w:r>
          </w:p>
          <w:p w:rsidR="00FD7A78" w:rsidRPr="00CE6C29" w:rsidP="002F6A28" w14:paraId="70A5AE74" w14:textId="77777777">
            <w:pPr>
              <w:rPr>
                <w:iCs/>
              </w:rPr>
            </w:pPr>
            <w:r w:rsidRPr="00CE6C29">
              <w:rPr>
                <w:iCs/>
              </w:rPr>
              <w:t xml:space="preserve">E-mail: </w:t>
            </w:r>
            <w:hyperlink r:id="rId6" w:history="1">
              <w:r w:rsidRPr="00CE6C29">
                <w:rPr>
                  <w:iCs/>
                  <w:color w:val="0000FF"/>
                  <w:u w:val="single"/>
                </w:rPr>
                <w:t>grow-eu-tbt@ec.europa.eu</w:t>
              </w:r>
            </w:hyperlink>
          </w:p>
          <w:p w:rsidR="00FD7A78" w:rsidRPr="00CE6C29" w:rsidP="002F6A28" w14:paraId="1F227A86" w14:textId="77777777">
            <w:pPr>
              <w:spacing w:after="120"/>
              <w:rPr>
                <w:iCs/>
              </w:rPr>
            </w:pPr>
            <w:r w:rsidRPr="00CE6C29">
              <w:rPr>
                <w:iCs/>
              </w:rPr>
              <w:t xml:space="preserve">The text is available on the Website: </w:t>
            </w:r>
            <w:hyperlink r:id="rId7" w:tgtFrame="_blank" w:history="1">
              <w:r w:rsidRPr="00CE6C29">
                <w:rPr>
                  <w:iCs/>
                  <w:color w:val="0000FF"/>
                  <w:u w:val="single"/>
                </w:rPr>
                <w:t>https://technical-barriers-trade.ec.europa.eu/en/home</w:t>
              </w:r>
            </w:hyperlink>
          </w:p>
        </w:tc>
      </w:tr>
      <w:tr w14:paraId="231B91E3" w14:textId="77777777" w:rsidTr="00DB13FE">
        <w:tblPrEx>
          <w:tblW w:w="5000" w:type="pct"/>
          <w:tblLayout w:type="fixed"/>
          <w:tblLook w:val="0000"/>
        </w:tblPrEx>
        <w:tc>
          <w:tcPr>
            <w:tcW w:w="607" w:type="dxa"/>
          </w:tcPr>
          <w:p w:rsidR="00F85C99" w:rsidRPr="002F6A28" w:rsidP="002F6A28" w14:paraId="42A9615B" w14:textId="77777777">
            <w:pPr>
              <w:spacing w:before="120" w:after="120"/>
              <w:jc w:val="left"/>
              <w:rPr>
                <w:b/>
              </w:rPr>
            </w:pPr>
            <w:r w:rsidRPr="002F6A28">
              <w:rPr>
                <w:b/>
              </w:rPr>
              <w:t>6.</w:t>
            </w:r>
          </w:p>
        </w:tc>
        <w:tc>
          <w:tcPr>
            <w:tcW w:w="8373" w:type="dxa"/>
          </w:tcPr>
          <w:p w:rsidR="00F85C99" w:rsidRPr="002F6A28" w:rsidP="002F6A28" w14:paraId="7708AE81" w14:textId="77777777">
            <w:pPr>
              <w:spacing w:before="120" w:after="120"/>
              <w:rPr>
                <w:b/>
              </w:rPr>
            </w:pPr>
            <w:r w:rsidRPr="002F6A28">
              <w:rPr>
                <w:b/>
              </w:rPr>
              <w:t>Description of content:</w:t>
            </w:r>
            <w:r w:rsidRPr="00C379C8" w:rsidR="00FE448B">
              <w:t xml:space="preserve"> Regulation (EU) 2024/1257 of the European Parliament and of the Council of 24 April 2024 on type-approval of motor vehicles and engines and of systems, components and separate technical units intended for such vehicles, with respect to their emissions and battery durability (Euro 7) introduces, inter alia, stricter lifetime requirements for the emission performance of vehicles, engines and pollution control systems and an 'additional lifetime' period that extends 25 per cent beyond the vehicle's 'main lifetime'. Durability multipliers are introduced in Annex IV Table 2 of the Euro 7 Regulation to account for the deterioration of emission reduction systems beyond the main lifetime. In accordance with Article 15(1)(f) of the Euro 7 Regulation, this initiative sets </w:t>
            </w:r>
            <w:r w:rsidRPr="00C379C8" w:rsidR="00FE448B">
              <w:t>out durability multipliers of 1.2 for gaseous pollutants of heavy-duty vehicles of categories M3, N2 and N3 in Table 2 of Annex IV</w:t>
            </w:r>
          </w:p>
        </w:tc>
      </w:tr>
      <w:tr w14:paraId="7E0C9150" w14:textId="77777777" w:rsidTr="00DB13FE">
        <w:tblPrEx>
          <w:tblW w:w="5000" w:type="pct"/>
          <w:tblLayout w:type="fixed"/>
          <w:tblLook w:val="0000"/>
        </w:tblPrEx>
        <w:tc>
          <w:tcPr>
            <w:tcW w:w="607" w:type="dxa"/>
          </w:tcPr>
          <w:p w:rsidR="00F85C99" w:rsidRPr="002F6A28" w:rsidP="002F6A28" w14:paraId="73B8713A" w14:textId="77777777">
            <w:pPr>
              <w:spacing w:before="120" w:after="120"/>
              <w:jc w:val="left"/>
              <w:rPr>
                <w:b/>
              </w:rPr>
            </w:pPr>
            <w:r w:rsidRPr="002F6A28">
              <w:rPr>
                <w:b/>
              </w:rPr>
              <w:t>7.</w:t>
            </w:r>
          </w:p>
        </w:tc>
        <w:tc>
          <w:tcPr>
            <w:tcW w:w="8373" w:type="dxa"/>
          </w:tcPr>
          <w:p w:rsidR="00F85C99" w:rsidRPr="002F6A28" w:rsidP="002F6A28" w14:paraId="05DCAE04" w14:textId="77777777">
            <w:pPr>
              <w:spacing w:before="120" w:after="120"/>
              <w:rPr>
                <w:b/>
              </w:rPr>
            </w:pPr>
            <w:r w:rsidRPr="002F6A28">
              <w:rPr>
                <w:b/>
              </w:rPr>
              <w:t>Objective and rationale, including the nature of urgent problems where applicable:</w:t>
            </w:r>
            <w:r w:rsidRPr="00C379C8" w:rsidR="00EE3A11">
              <w:t xml:space="preserve"> Regulation (EU) 2024/1257 requires vehicles to respect the emission limits not only during the 'main lifetime', but also during the 'additional lifetime'. For the additional lifetime, durability multipliers are needed to account for the deterioration of emission reduction systems beyond the main lifetime. Based on a technical assessment recommending durability multipliers of 1.2 for heavy-duty vehicles of categories M3, N2 and N3, aligning with LDV and M2 standards, the proposal under consultation aims at setting out these durability multipliers to give clarity to heavy-duty vehicle manufacturers before the mandatory application date of the Euro 7 Regulation for these vehicles; Harmonization</w:t>
            </w:r>
          </w:p>
        </w:tc>
      </w:tr>
      <w:tr w14:paraId="7EEC940D" w14:textId="77777777" w:rsidTr="00DB13FE">
        <w:tblPrEx>
          <w:tblW w:w="5000" w:type="pct"/>
          <w:tblLayout w:type="fixed"/>
          <w:tblLook w:val="0000"/>
        </w:tblPrEx>
        <w:tc>
          <w:tcPr>
            <w:tcW w:w="607" w:type="dxa"/>
          </w:tcPr>
          <w:p w:rsidR="00F85C99" w:rsidRPr="002F6A28" w:rsidP="009E75ED" w14:paraId="432F9D4D" w14:textId="77777777">
            <w:pPr>
              <w:spacing w:before="120" w:after="120"/>
              <w:jc w:val="left"/>
              <w:rPr>
                <w:b/>
              </w:rPr>
            </w:pPr>
            <w:r w:rsidRPr="002F6A28">
              <w:rPr>
                <w:b/>
              </w:rPr>
              <w:t>8.</w:t>
            </w:r>
          </w:p>
        </w:tc>
        <w:tc>
          <w:tcPr>
            <w:tcW w:w="8373" w:type="dxa"/>
          </w:tcPr>
          <w:p w:rsidR="000C3B6C" w:rsidRPr="00EC00D2" w:rsidP="007F13E8" w14:paraId="14B27AE7" w14:textId="77777777">
            <w:pPr>
              <w:spacing w:before="120" w:after="120"/>
              <w:rPr>
                <w:bCs/>
              </w:rPr>
            </w:pPr>
            <w:r w:rsidRPr="002F6A28">
              <w:rPr>
                <w:b/>
              </w:rPr>
              <w:t>Relevant documents:</w:t>
            </w:r>
            <w:r w:rsidRPr="002F6A28" w:rsidR="00EE3A11">
              <w:t xml:space="preserve"> </w:t>
            </w:r>
          </w:p>
          <w:p w:rsidR="00EE3A11" w:rsidRPr="002F6A28" w:rsidP="007F13E8" w14:paraId="1E21A0EC" w14:textId="77777777">
            <w:pPr>
              <w:numPr>
                <w:ilvl w:val="0"/>
                <w:numId w:val="16"/>
              </w:numPr>
              <w:spacing w:before="120" w:after="120"/>
            </w:pPr>
            <w:r w:rsidRPr="002F6A28">
              <w:t>Regulation (EU) 2024/1257 of the European Parliament and of the Council of 24 April 2024 on type-approval of motor vehicles and engines and of systems, components and separate technical units intended for such vehicles, with respect to their emissions and battery durability (Euro 7)</w:t>
            </w:r>
          </w:p>
          <w:p w:rsidR="00EE3A11" w:rsidRPr="002F6A28" w:rsidP="007F13E8" w14:paraId="0B274FA2" w14:textId="77777777">
            <w:pPr>
              <w:spacing w:before="120" w:after="120"/>
            </w:pPr>
            <w:r w:rsidRPr="002F6A28">
              <w:t>(</w:t>
            </w:r>
            <w:hyperlink r:id="rId10" w:history="1">
              <w:r w:rsidRPr="002F6A28">
                <w:rPr>
                  <w:color w:val="0000FF"/>
                  <w:u w:val="single"/>
                </w:rPr>
                <w:t>https://eur-lex.europa.eu/eli/reg/2024/1257/oj/eng</w:t>
              </w:r>
            </w:hyperlink>
            <w:r w:rsidRPr="002F6A28">
              <w:t>)</w:t>
            </w:r>
          </w:p>
          <w:p w:rsidR="00EE3A11" w:rsidRPr="002F6A28" w:rsidP="007F13E8" w14:paraId="7E26C1C7" w14:textId="77777777">
            <w:pPr>
              <w:numPr>
                <w:ilvl w:val="0"/>
                <w:numId w:val="17"/>
              </w:numPr>
              <w:spacing w:before="120" w:after="120"/>
            </w:pPr>
            <w:r w:rsidRPr="002F6A28">
              <w:t xml:space="preserve">European Commission: Directorate-General for Internal Market, Industry, Entrepreneurship and SMEs, Plakolmer, B., Hausberger, S. and Weller, K., </w:t>
            </w:r>
            <w:r w:rsidRPr="002F6A28">
              <w:rPr>
                <w:i/>
                <w:iCs/>
              </w:rPr>
              <w:t>Durability of Euro 7 heavy-duty vehicle emissions – Technical report – LOT2</w:t>
            </w:r>
            <w:r w:rsidRPr="002F6A28">
              <w:t>, Publications Office of the European Union, 2025,</w:t>
            </w:r>
          </w:p>
          <w:p w:rsidR="00EE3A11" w:rsidRPr="002F6A28" w:rsidP="007F13E8" w14:paraId="2FE4FDE2" w14:textId="77777777">
            <w:pPr>
              <w:spacing w:before="120" w:after="120"/>
            </w:pPr>
            <w:r w:rsidRPr="002F6A28">
              <w:t>(</w:t>
            </w:r>
            <w:hyperlink r:id="rId11" w:history="1">
              <w:r w:rsidRPr="002F6A28">
                <w:rPr>
                  <w:color w:val="0000FF"/>
                  <w:u w:val="single"/>
                </w:rPr>
                <w:t>https://data.europa.eu/doi/10.2873/7305552</w:t>
              </w:r>
            </w:hyperlink>
            <w:r w:rsidRPr="002F6A28">
              <w:t>)</w:t>
            </w:r>
          </w:p>
        </w:tc>
      </w:tr>
      <w:tr w14:paraId="0B60CAC5" w14:textId="77777777" w:rsidTr="00DB13FE">
        <w:tblPrEx>
          <w:tblW w:w="5000" w:type="pct"/>
          <w:tblLayout w:type="fixed"/>
          <w:tblLook w:val="0000"/>
        </w:tblPrEx>
        <w:tc>
          <w:tcPr>
            <w:tcW w:w="607" w:type="dxa"/>
          </w:tcPr>
          <w:p w:rsidR="00EE3A11" w:rsidRPr="002F6A28" w:rsidP="002F6A28" w14:paraId="54F8A577" w14:textId="77777777">
            <w:pPr>
              <w:spacing w:before="120" w:after="120"/>
              <w:jc w:val="left"/>
              <w:rPr>
                <w:b/>
              </w:rPr>
            </w:pPr>
            <w:r w:rsidRPr="002F6A28">
              <w:rPr>
                <w:b/>
              </w:rPr>
              <w:t>9.</w:t>
            </w:r>
          </w:p>
        </w:tc>
        <w:tc>
          <w:tcPr>
            <w:tcW w:w="8373" w:type="dxa"/>
          </w:tcPr>
          <w:p w:rsidR="00EE3A11" w:rsidRPr="002F6A28" w:rsidP="008953C4" w14:paraId="61F0B20D" w14:textId="77777777">
            <w:pPr>
              <w:spacing w:before="120" w:after="120"/>
            </w:pPr>
            <w:r w:rsidRPr="002F6A28">
              <w:rPr>
                <w:b/>
              </w:rPr>
              <w:t>Proposed date of adoption:</w:t>
            </w:r>
            <w:r w:rsidRPr="00C379C8">
              <w:t xml:space="preserve"> April 2026</w:t>
            </w:r>
          </w:p>
          <w:p w:rsidR="00EE3A11" w:rsidRPr="002F6A28" w:rsidP="008953C4" w14:paraId="69EB852C" w14:textId="77777777">
            <w:pPr>
              <w:spacing w:after="120"/>
            </w:pPr>
            <w:r w:rsidRPr="002F6A28">
              <w:rPr>
                <w:b/>
              </w:rPr>
              <w:t>Proposed date of entry into force:</w:t>
            </w:r>
            <w:r w:rsidRPr="00C379C8">
              <w:t xml:space="preserve"> 20 days from publication in the Official Journal of the EU</w:t>
            </w:r>
          </w:p>
        </w:tc>
      </w:tr>
      <w:tr w14:paraId="663299EF" w14:textId="77777777" w:rsidTr="00DB13FE">
        <w:tblPrEx>
          <w:tblW w:w="5000" w:type="pct"/>
          <w:tblLayout w:type="fixed"/>
          <w:tblLook w:val="0000"/>
        </w:tblPrEx>
        <w:tc>
          <w:tcPr>
            <w:tcW w:w="607" w:type="dxa"/>
            <w:tcBorders>
              <w:bottom w:val="double" w:sz="4" w:space="0" w:color="auto"/>
            </w:tcBorders>
          </w:tcPr>
          <w:p w:rsidR="00F85C99" w:rsidRPr="002F6A28" w:rsidP="002F6A28" w14:paraId="1B4F9C9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583823F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CC81736" w14:textId="77777777">
            <w:pPr>
              <w:spacing w:before="120" w:after="120"/>
              <w:rPr>
                <w:bCs/>
              </w:rPr>
            </w:pPr>
            <w:r w:rsidRPr="002F6A28">
              <w:rPr>
                <w:b/>
              </w:rPr>
              <w:t>Final date for comments:</w:t>
            </w:r>
            <w:r w:rsidRPr="00C379C8" w:rsidR="00EE3A11">
              <w:t xml:space="preserve"> 18 April 2026</w:t>
            </w:r>
          </w:p>
          <w:p w:rsidR="000C3B6C" w:rsidRPr="00E3324D" w:rsidP="000C3B6C" w14:paraId="232F6F13"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6DC4FA8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8CAEF18" w14:textId="77777777">
            <w:r w:rsidRPr="00CE6C29">
              <w:t>European Commission,</w:t>
            </w:r>
          </w:p>
          <w:p w:rsidR="00CE6C29" w:rsidRPr="00CE6C29" w:rsidP="000C3B6C" w14:paraId="5C434974" w14:textId="77777777">
            <w:r w:rsidRPr="00CE6C29">
              <w:t>EU-TBT Enquiry Point,</w:t>
            </w:r>
          </w:p>
          <w:p w:rsidR="00CE6C29" w:rsidRPr="00CE6C29" w:rsidP="000C3B6C" w14:paraId="1C65C9E6" w14:textId="77777777">
            <w:r w:rsidRPr="00CE6C29">
              <w:t>Fax: + (32) 2 299 80 43,</w:t>
            </w:r>
          </w:p>
          <w:p w:rsidR="00CE6C29" w:rsidRPr="00CE6C29" w:rsidP="000C3B6C" w14:paraId="07FF3F78" w14:textId="77777777">
            <w:pPr>
              <w:spacing w:after="120"/>
            </w:pPr>
            <w:r w:rsidRPr="00CE6C29">
              <w:t xml:space="preserve">E-mail: </w:t>
            </w:r>
            <w:hyperlink r:id="rId6" w:history="1">
              <w:r w:rsidRPr="00CE6C29">
                <w:rPr>
                  <w:color w:val="0000FF"/>
                  <w:u w:val="single"/>
                </w:rPr>
                <w:t>grow-eu-tbt@ec.europa.eu</w:t>
              </w:r>
            </w:hyperlink>
          </w:p>
        </w:tc>
      </w:tr>
    </w:tbl>
    <w:p w:rsidR="00EE3A11" w:rsidRPr="002F6A28" w:rsidP="00887259" w14:paraId="3E4860A2" w14:textId="77777777">
      <w:pPr>
        <w:jc w:val="center"/>
      </w:pPr>
    </w:p>
    <w:sectPr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4C3C1B9"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E04AE1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4313DF02"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FBBBB63" w14:textId="77777777">
    <w:pPr>
      <w:pStyle w:val="Header"/>
      <w:pBdr>
        <w:bottom w:val="single" w:sz="4" w:space="1" w:color="auto"/>
      </w:pBdr>
      <w:tabs>
        <w:tab w:val="clear" w:pos="4513"/>
        <w:tab w:val="clear" w:pos="9027"/>
      </w:tabs>
      <w:jc w:val="center"/>
    </w:pPr>
    <w:r w:rsidRPr="002F6A28">
      <w:t>tbtSymbol</w:t>
    </w:r>
  </w:p>
  <w:p w:rsidR="009239F7" w:rsidRPr="002F6A28" w:rsidP="009239F7" w14:paraId="4010A074" w14:textId="77777777">
    <w:pPr>
      <w:pStyle w:val="Header"/>
      <w:pBdr>
        <w:bottom w:val="single" w:sz="4" w:space="1" w:color="auto"/>
      </w:pBdr>
      <w:tabs>
        <w:tab w:val="clear" w:pos="4513"/>
        <w:tab w:val="clear" w:pos="9027"/>
      </w:tabs>
      <w:jc w:val="center"/>
    </w:pPr>
  </w:p>
  <w:p w:rsidR="009239F7" w:rsidRPr="002F6A28" w:rsidP="009239F7" w14:paraId="58E853A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3DE6C35"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05D58FF" w14:textId="77777777">
    <w:pPr>
      <w:pStyle w:val="Header"/>
      <w:pBdr>
        <w:bottom w:val="single" w:sz="4" w:space="1" w:color="auto"/>
      </w:pBdr>
      <w:tabs>
        <w:tab w:val="clear" w:pos="4513"/>
        <w:tab w:val="clear" w:pos="9027"/>
      </w:tabs>
      <w:jc w:val="center"/>
    </w:pPr>
    <w:bookmarkStart w:id="0" w:name="spsSymbolHeader"/>
    <w:r w:rsidRPr="002F6A28">
      <w:t>G/TBT/N/EU/1191</w:t>
    </w:r>
    <w:bookmarkEnd w:id="0"/>
  </w:p>
  <w:p w:rsidR="009239F7" w:rsidRPr="002F6A28" w:rsidP="009239F7" w14:paraId="582C01A8" w14:textId="77777777">
    <w:pPr>
      <w:pStyle w:val="Header"/>
      <w:pBdr>
        <w:bottom w:val="single" w:sz="4" w:space="1" w:color="auto"/>
      </w:pBdr>
      <w:tabs>
        <w:tab w:val="clear" w:pos="4513"/>
        <w:tab w:val="clear" w:pos="9027"/>
      </w:tabs>
      <w:jc w:val="center"/>
    </w:pPr>
  </w:p>
  <w:p w:rsidR="009239F7" w:rsidRPr="002F6A28" w:rsidP="009239F7" w14:paraId="2B486DC3"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4A7A29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0345936"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184759A0"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44618DC" w14:textId="77777777">
          <w:pPr>
            <w:jc w:val="right"/>
            <w:rPr>
              <w:b/>
              <w:color w:val="FF0000"/>
              <w:szCs w:val="16"/>
            </w:rPr>
          </w:pPr>
        </w:p>
      </w:tc>
    </w:tr>
    <w:bookmarkEnd w:id="1"/>
    <w:tr w14:paraId="0962410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434F235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E0AA4D4" w14:textId="77777777">
          <w:pPr>
            <w:jc w:val="right"/>
            <w:rPr>
              <w:b/>
              <w:szCs w:val="16"/>
            </w:rPr>
          </w:pPr>
        </w:p>
      </w:tc>
    </w:tr>
    <w:tr w14:paraId="5AAB8833"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96514CA"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55DB5728" w14:textId="77777777">
          <w:pPr>
            <w:jc w:val="right"/>
            <w:rPr>
              <w:b/>
              <w:szCs w:val="16"/>
            </w:rPr>
          </w:pPr>
          <w:bookmarkStart w:id="2" w:name="bmkSymbols"/>
          <w:r w:rsidRPr="002F6A28">
            <w:rPr>
              <w:b/>
              <w:szCs w:val="16"/>
            </w:rPr>
            <w:t>G/TBT/N/EU/1191</w:t>
          </w:r>
          <w:bookmarkEnd w:id="2"/>
        </w:p>
      </w:tc>
    </w:tr>
    <w:tr w14:paraId="2DD4CCD4"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0194F13C" w14:textId="77777777"/>
      </w:tc>
      <w:tc>
        <w:tcPr>
          <w:tcW w:w="5448" w:type="dxa"/>
          <w:gridSpan w:val="2"/>
          <w:shd w:val="clear" w:color="auto" w:fill="FFFFFF"/>
          <w:tcMar>
            <w:left w:w="108" w:type="dxa"/>
            <w:right w:w="108" w:type="dxa"/>
          </w:tcMar>
          <w:vAlign w:val="center"/>
        </w:tcPr>
        <w:p w:rsidR="00ED54E0" w:rsidRPr="009239F7" w:rsidP="00B801E9" w14:paraId="49F74311" w14:textId="77777777">
          <w:pPr>
            <w:jc w:val="right"/>
            <w:rPr>
              <w:szCs w:val="16"/>
            </w:rPr>
          </w:pPr>
          <w:bookmarkStart w:id="3" w:name="spsDateDistribution"/>
          <w:bookmarkStart w:id="4" w:name="bmkDate"/>
          <w:r w:rsidRPr="009239F7">
            <w:rPr>
              <w:szCs w:val="16"/>
            </w:rPr>
            <w:t>17 February 2026</w:t>
          </w:r>
          <w:bookmarkEnd w:id="3"/>
          <w:bookmarkEnd w:id="4"/>
        </w:p>
      </w:tc>
    </w:tr>
    <w:tr w14:paraId="094770BD"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7C2A44D" w14:textId="77777777">
          <w:pPr>
            <w:jc w:val="left"/>
            <w:rPr>
              <w:b/>
            </w:rPr>
          </w:pPr>
          <w:bookmarkStart w:id="5" w:name="bmkSerial"/>
          <w:r>
            <w:rPr>
              <w:rFonts w:ascii="Verdana" w:eastAsia="Verdana" w:hAnsi="Verdana" w:cs="Verdana"/>
              <w:b w:val="0"/>
              <w:color w:val="FF0000"/>
              <w:sz w:val="18"/>
            </w:rPr>
            <w:t>(26-1106)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125FC28"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9791AE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4BCACD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53FBE6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560A492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173389">
    <w:abstractNumId w:val="9"/>
  </w:num>
  <w:num w:numId="2" w16cid:durableId="1926302133">
    <w:abstractNumId w:val="7"/>
  </w:num>
  <w:num w:numId="3" w16cid:durableId="122233956">
    <w:abstractNumId w:val="6"/>
  </w:num>
  <w:num w:numId="4" w16cid:durableId="1083602054">
    <w:abstractNumId w:val="5"/>
  </w:num>
  <w:num w:numId="5" w16cid:durableId="492184935">
    <w:abstractNumId w:val="4"/>
  </w:num>
  <w:num w:numId="6" w16cid:durableId="1736389470">
    <w:abstractNumId w:val="12"/>
  </w:num>
  <w:num w:numId="7" w16cid:durableId="1631743911">
    <w:abstractNumId w:val="11"/>
  </w:num>
  <w:num w:numId="8" w16cid:durableId="1901473354">
    <w:abstractNumId w:val="10"/>
  </w:num>
  <w:num w:numId="9" w16cid:durableId="19525174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459289">
    <w:abstractNumId w:val="13"/>
  </w:num>
  <w:num w:numId="11" w16cid:durableId="851071685">
    <w:abstractNumId w:val="8"/>
  </w:num>
  <w:num w:numId="12" w16cid:durableId="790637086">
    <w:abstractNumId w:val="3"/>
  </w:num>
  <w:num w:numId="13" w16cid:durableId="1778481966">
    <w:abstractNumId w:val="2"/>
  </w:num>
  <w:num w:numId="14" w16cid:durableId="1511604328">
    <w:abstractNumId w:val="1"/>
  </w:num>
  <w:num w:numId="15" w16cid:durableId="570773362">
    <w:abstractNumId w:val="0"/>
  </w:num>
  <w:num w:numId="16" w16cid:durableId="1155489486">
    <w:abstractNumId w:val="14"/>
  </w:num>
  <w:num w:numId="17" w16cid:durableId="1186522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05AC3"/>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77CF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2E13"/>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C52CA"/>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325F"/>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D0ECD"/>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D7A78"/>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B58AA1"/>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ur-lex.europa.eu/eli/reg/2024/1257/oj/eng" TargetMode="External" /><Relationship Id="rId11" Type="http://schemas.openxmlformats.org/officeDocument/2006/relationships/hyperlink" Target="https://data.europa.eu/doi/10.2873/7305552"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grow-eu-tbt@ec.europa.eu" TargetMode="External" /><Relationship Id="rId7" Type="http://schemas.openxmlformats.org/officeDocument/2006/relationships/hyperlink" Target="https://technical-barriers-trade.ec.europa.eu/en/home" TargetMode="External" /><Relationship Id="rId8" Type="http://schemas.openxmlformats.org/officeDocument/2006/relationships/hyperlink" Target="https://members.wto.org/crnattachments/2026/TBT/EEC/26_00954_00_e.pdf" TargetMode="External" /><Relationship Id="rId9" Type="http://schemas.openxmlformats.org/officeDocument/2006/relationships/hyperlink" Target="https://members.wto.org/crnattachments/2026/TBT/EEC/26_00954_01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757DC34D-1A8B-42F3-91D2-84440CB7BFE4}">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735</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3</cp:revision>
  <dcterms:created xsi:type="dcterms:W3CDTF">2026-02-17T07:21:00Z</dcterms:created>
  <dcterms:modified xsi:type="dcterms:W3CDTF">2026-02-17T07:38:00Z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PUBLIC</vt:lpwstr>
  </property>
</Properties>
</file>