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2FC256" w14:textId="77777777">
      <w:pPr>
        <w:pStyle w:val="Title"/>
        <w:rPr>
          <w:caps w:val="0"/>
          <w:kern w:val="0"/>
        </w:rPr>
      </w:pPr>
      <w:r w:rsidRPr="002F6A28">
        <w:rPr>
          <w:caps w:val="0"/>
          <w:kern w:val="0"/>
        </w:rPr>
        <w:t>NOTIFICATION</w:t>
      </w:r>
    </w:p>
    <w:p w:rsidR="009239F7" w:rsidRPr="002F6A28" w:rsidP="002F6A28" w14:paraId="723F4BD5" w14:textId="77777777">
      <w:pPr>
        <w:jc w:val="center"/>
      </w:pPr>
      <w:r w:rsidRPr="002F6A28">
        <w:t>The following notification is being circulated in accordance with Article 10.6</w:t>
      </w:r>
    </w:p>
    <w:p w:rsidR="009239F7" w:rsidRPr="002F6A28" w:rsidP="002F6A28" w14:paraId="014D2E7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F4750EC" w14:textId="77777777" w:rsidTr="00DB13FE">
        <w:tblPrEx>
          <w:tblW w:w="5000" w:type="pct"/>
          <w:tblLayout w:type="fixed"/>
          <w:tblLook w:val="0000"/>
        </w:tblPrEx>
        <w:tc>
          <w:tcPr>
            <w:tcW w:w="607" w:type="dxa"/>
            <w:tcBorders>
              <w:top w:val="double" w:sz="4" w:space="0" w:color="auto"/>
            </w:tcBorders>
          </w:tcPr>
          <w:p w:rsidR="00F85C99" w:rsidRPr="002F6A28" w:rsidP="002F6A28" w14:paraId="08FCE12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565F0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489387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663839" w14:textId="77777777" w:rsidTr="00DB13FE">
        <w:tblPrEx>
          <w:tblW w:w="5000" w:type="pct"/>
          <w:tblLayout w:type="fixed"/>
          <w:tblLook w:val="0000"/>
        </w:tblPrEx>
        <w:tc>
          <w:tcPr>
            <w:tcW w:w="607" w:type="dxa"/>
          </w:tcPr>
          <w:p w:rsidR="00F85C99" w:rsidRPr="002F6A28" w:rsidP="002F6A28" w14:paraId="5DF8299A" w14:textId="77777777">
            <w:pPr>
              <w:spacing w:before="120" w:after="120"/>
              <w:jc w:val="left"/>
            </w:pPr>
            <w:r w:rsidRPr="002F6A28">
              <w:rPr>
                <w:b/>
              </w:rPr>
              <w:t>2.</w:t>
            </w:r>
          </w:p>
        </w:tc>
        <w:tc>
          <w:tcPr>
            <w:tcW w:w="8373" w:type="dxa"/>
          </w:tcPr>
          <w:p w:rsidR="00F85C99" w:rsidRPr="002F6A28" w:rsidP="000C3B6C" w14:paraId="1460D7CF" w14:textId="77777777">
            <w:pPr>
              <w:spacing w:before="120" w:after="120"/>
            </w:pPr>
            <w:r w:rsidRPr="002F6A28">
              <w:rPr>
                <w:b/>
              </w:rPr>
              <w:t>Agency responsible:</w:t>
            </w:r>
            <w:r w:rsidRPr="00C379C8" w:rsidR="00EE3A11">
              <w:t xml:space="preserve"> </w:t>
            </w:r>
          </w:p>
          <w:p w:rsidR="00EE3A11" w:rsidRPr="00C379C8" w:rsidP="000C3B6C" w14:paraId="6243D206" w14:textId="77777777">
            <w:r w:rsidRPr="00C379C8">
              <w:t>European Commission</w:t>
            </w:r>
          </w:p>
          <w:p w:rsidR="00EE3A11" w:rsidRPr="00C379C8" w:rsidP="000C3B6C" w14:paraId="5EDD285D" w14:textId="77777777">
            <w:r w:rsidRPr="00C379C8">
              <w:t>EU-TBT Enquiry Point,</w:t>
            </w:r>
          </w:p>
          <w:p w:rsidR="00EE3A11" w:rsidRPr="00C379C8" w:rsidP="000C3B6C" w14:paraId="65625F1C" w14:textId="77777777">
            <w:r w:rsidRPr="00C379C8">
              <w:t>Fax: +(32) 2 299 80 43,</w:t>
            </w:r>
          </w:p>
          <w:p w:rsidR="00EE3A11" w:rsidRPr="00C379C8" w:rsidP="000C3B6C" w14:paraId="09E7A186" w14:textId="77777777">
            <w:r w:rsidRPr="00C379C8">
              <w:t xml:space="preserve">E-mail: </w:t>
            </w:r>
            <w:hyperlink r:id="rId5" w:history="1">
              <w:r w:rsidRPr="00C379C8">
                <w:rPr>
                  <w:color w:val="0000FF"/>
                  <w:u w:val="single"/>
                </w:rPr>
                <w:t>grow-eu-tbt@ec.europa.eu</w:t>
              </w:r>
            </w:hyperlink>
          </w:p>
          <w:p w:rsidR="00EE3A11" w:rsidRPr="00C379C8" w:rsidP="000C3B6C" w14:paraId="162C37D2"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67761CAC" w14:textId="77777777" w:rsidTr="00DB13FE">
        <w:tblPrEx>
          <w:tblW w:w="5000" w:type="pct"/>
          <w:tblLayout w:type="fixed"/>
          <w:tblLook w:val="0000"/>
        </w:tblPrEx>
        <w:tc>
          <w:tcPr>
            <w:tcW w:w="607" w:type="dxa"/>
          </w:tcPr>
          <w:p w:rsidR="00F85C99" w:rsidRPr="002F6A28" w:rsidP="002F6A28" w14:paraId="2187C0BF" w14:textId="77777777">
            <w:pPr>
              <w:spacing w:before="120" w:after="120"/>
              <w:jc w:val="left"/>
              <w:rPr>
                <w:b/>
              </w:rPr>
            </w:pPr>
            <w:r w:rsidRPr="002F6A28">
              <w:rPr>
                <w:b/>
              </w:rPr>
              <w:t>3.</w:t>
            </w:r>
          </w:p>
        </w:tc>
        <w:tc>
          <w:tcPr>
            <w:tcW w:w="8373" w:type="dxa"/>
          </w:tcPr>
          <w:p w:rsidR="00F85C99" w:rsidRPr="0058336F" w:rsidP="002F6A28" w14:paraId="6FFA114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D88AC5" w14:textId="77777777" w:rsidTr="00DB13FE">
        <w:tblPrEx>
          <w:tblW w:w="5000" w:type="pct"/>
          <w:tblLayout w:type="fixed"/>
          <w:tblLook w:val="0000"/>
        </w:tblPrEx>
        <w:tc>
          <w:tcPr>
            <w:tcW w:w="607" w:type="dxa"/>
          </w:tcPr>
          <w:p w:rsidR="00F85C99" w:rsidRPr="002F6A28" w:rsidP="002F6A28" w14:paraId="3936D5C4" w14:textId="77777777">
            <w:pPr>
              <w:spacing w:before="120" w:after="120"/>
              <w:jc w:val="left"/>
            </w:pPr>
            <w:r w:rsidRPr="002F6A28">
              <w:rPr>
                <w:b/>
              </w:rPr>
              <w:t>4.</w:t>
            </w:r>
          </w:p>
        </w:tc>
        <w:tc>
          <w:tcPr>
            <w:tcW w:w="8373" w:type="dxa"/>
          </w:tcPr>
          <w:p w:rsidR="00F85C99" w:rsidRPr="002F6A28" w:rsidP="002F6A28" w14:paraId="07B38D8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11.120 Pharmaceutics; 11.220 Veterinary medicines</w:t>
            </w:r>
          </w:p>
          <w:p w:rsidR="00EE3A11" w:rsidRPr="00C379C8" w:rsidP="002F6A28" w14:paraId="0E495F45" w14:textId="77777777">
            <w:pPr>
              <w:spacing w:before="120" w:after="120"/>
            </w:pPr>
            <w:r w:rsidRPr="00C379C8">
              <w:t>67-Food technology</w:t>
            </w:r>
          </w:p>
        </w:tc>
      </w:tr>
      <w:tr w14:paraId="540FE8B3" w14:textId="77777777" w:rsidTr="00DB13FE">
        <w:tblPrEx>
          <w:tblW w:w="5000" w:type="pct"/>
          <w:tblLayout w:type="fixed"/>
          <w:tblLook w:val="0000"/>
        </w:tblPrEx>
        <w:tc>
          <w:tcPr>
            <w:tcW w:w="607" w:type="dxa"/>
          </w:tcPr>
          <w:p w:rsidR="00F85C99" w:rsidRPr="002F6A28" w:rsidP="002F6A28" w14:paraId="215083F5" w14:textId="77777777">
            <w:pPr>
              <w:spacing w:before="120" w:after="120"/>
              <w:jc w:val="left"/>
            </w:pPr>
            <w:r w:rsidRPr="002F6A28">
              <w:rPr>
                <w:b/>
              </w:rPr>
              <w:t>5.</w:t>
            </w:r>
          </w:p>
        </w:tc>
        <w:tc>
          <w:tcPr>
            <w:tcW w:w="8373" w:type="dxa"/>
          </w:tcPr>
          <w:p w:rsidR="00F85C99" w:rsidP="002F6A28" w14:paraId="28E3000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REGULATION OF THE EUROPEAN PARLIAMENT AND OF THE COUNCIL on establishing a framework of measures for strengthening Union's biotechnology and biomanufacturing sectors particularly in the area of health and amending Regulations (EC) No 178/2002, (EC) No 1394/2007, (EU) No 536/2014, (EU) 2019/6, (EU) 2024/795 and (EU) 2024/1938; (258 page(s), in English), (20 page(s), in English)</w:t>
            </w:r>
          </w:p>
          <w:p w:rsidR="000C3B6C" w:rsidRPr="000C3B6C" w:rsidP="002F6A28" w14:paraId="2785FFD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747A7" w:rsidRPr="00CE6C29" w:rsidP="002F6A28" w14:paraId="5AB3A986" w14:textId="77777777">
            <w:pPr>
              <w:pBdr>
                <w:top w:val="none" w:sz="0" w:space="4" w:color="auto"/>
              </w:pBdr>
              <w:rPr>
                <w:iCs/>
              </w:rPr>
            </w:pPr>
            <w:hyperlink r:id="rId7" w:tgtFrame="_blank" w:history="1">
              <w:r w:rsidRPr="00CE6C29">
                <w:rPr>
                  <w:iCs/>
                  <w:color w:val="0000FF"/>
                  <w:u w:val="single"/>
                </w:rPr>
                <w:t>https://members.wto.org/crnattachments/2026/TBT/EEC/26_00950_00_e.pdf</w:t>
              </w:r>
            </w:hyperlink>
          </w:p>
          <w:p w:rsidR="00A747A7" w:rsidRPr="00CE6C29" w:rsidP="002F6A28" w14:paraId="397B6727" w14:textId="77777777">
            <w:pPr>
              <w:pBdr>
                <w:bottom w:val="none" w:sz="0" w:space="4" w:color="auto"/>
              </w:pBdr>
              <w:rPr>
                <w:iCs/>
              </w:rPr>
            </w:pPr>
            <w:hyperlink r:id="rId8" w:tgtFrame="_blank" w:history="1">
              <w:r w:rsidRPr="00CE6C29">
                <w:rPr>
                  <w:iCs/>
                  <w:color w:val="0000FF"/>
                  <w:u w:val="single"/>
                </w:rPr>
                <w:t>https://members.wto.org/crnattachments/2026/TBT/EEC/26_00950_01_e.pdf</w:t>
              </w:r>
            </w:hyperlink>
          </w:p>
          <w:p w:rsidR="00A747A7" w:rsidRPr="00CE6C29" w:rsidP="002F6A28" w14:paraId="4E31051B" w14:textId="77777777">
            <w:pPr>
              <w:rPr>
                <w:iCs/>
              </w:rPr>
            </w:pPr>
            <w:r w:rsidRPr="00CE6C29">
              <w:rPr>
                <w:iCs/>
              </w:rPr>
              <w:t>European Commission</w:t>
            </w:r>
          </w:p>
          <w:p w:rsidR="00A747A7" w:rsidRPr="00CE6C29" w:rsidP="002F6A28" w14:paraId="499DB0A7" w14:textId="77777777">
            <w:pPr>
              <w:rPr>
                <w:iCs/>
              </w:rPr>
            </w:pPr>
            <w:r w:rsidRPr="00CE6C29">
              <w:rPr>
                <w:iCs/>
              </w:rPr>
              <w:t>EU-TBT Enquiry Point</w:t>
            </w:r>
          </w:p>
          <w:p w:rsidR="00A747A7" w:rsidRPr="00CE6C29" w:rsidP="002F6A28" w14:paraId="418EDA53" w14:textId="77777777">
            <w:pPr>
              <w:rPr>
                <w:iCs/>
              </w:rPr>
            </w:pPr>
            <w:r w:rsidRPr="00CE6C29">
              <w:rPr>
                <w:iCs/>
              </w:rPr>
              <w:t>Fax: + (32) 2 299 80 43</w:t>
            </w:r>
          </w:p>
          <w:p w:rsidR="00A747A7" w:rsidRPr="00CE6C29" w:rsidP="002F6A28" w14:paraId="205A6BF5" w14:textId="77777777">
            <w:pPr>
              <w:rPr>
                <w:iCs/>
              </w:rPr>
            </w:pPr>
            <w:r w:rsidRPr="00CE6C29">
              <w:rPr>
                <w:iCs/>
              </w:rPr>
              <w:t xml:space="preserve">E-mail: </w:t>
            </w:r>
            <w:hyperlink r:id="rId5" w:history="1">
              <w:r w:rsidRPr="00CE6C29">
                <w:rPr>
                  <w:iCs/>
                  <w:color w:val="0000FF"/>
                  <w:u w:val="single"/>
                </w:rPr>
                <w:t>grow-eu-tbt@ec.europa.eu</w:t>
              </w:r>
            </w:hyperlink>
          </w:p>
          <w:p w:rsidR="00A747A7" w:rsidRPr="00CE6C29" w:rsidP="002F6A28" w14:paraId="47EC6C9F"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369FF683" w14:textId="77777777" w:rsidTr="00DB13FE">
        <w:tblPrEx>
          <w:tblW w:w="5000" w:type="pct"/>
          <w:tblLayout w:type="fixed"/>
          <w:tblLook w:val="0000"/>
        </w:tblPrEx>
        <w:tc>
          <w:tcPr>
            <w:tcW w:w="607" w:type="dxa"/>
          </w:tcPr>
          <w:p w:rsidR="00F85C99" w:rsidRPr="002F6A28" w:rsidP="002F6A28" w14:paraId="015F0C2C" w14:textId="77777777">
            <w:pPr>
              <w:spacing w:before="120" w:after="120"/>
              <w:jc w:val="left"/>
              <w:rPr>
                <w:b/>
              </w:rPr>
            </w:pPr>
            <w:r w:rsidRPr="002F6A28">
              <w:rPr>
                <w:b/>
              </w:rPr>
              <w:t>6.</w:t>
            </w:r>
          </w:p>
        </w:tc>
        <w:tc>
          <w:tcPr>
            <w:tcW w:w="8373" w:type="dxa"/>
          </w:tcPr>
          <w:p w:rsidR="00F85C99" w:rsidRPr="002F6A28" w:rsidP="002F6A28" w14:paraId="3662B21A" w14:textId="77777777">
            <w:pPr>
              <w:spacing w:before="120" w:after="120"/>
              <w:rPr>
                <w:b/>
              </w:rPr>
            </w:pPr>
            <w:r w:rsidRPr="002F6A28">
              <w:rPr>
                <w:b/>
              </w:rPr>
              <w:t>Description of content:</w:t>
            </w:r>
            <w:r w:rsidRPr="00C379C8" w:rsidR="00FE448B">
              <w:t xml:space="preserve"> The proposal consists of measures targeted to strengthen the competitiveness of the biotechnology, structured in the following chapters:</w:t>
            </w:r>
          </w:p>
          <w:p w:rsidR="00FE448B" w:rsidRPr="00C379C8" w:rsidP="002F6A28" w14:paraId="0357592E" w14:textId="77777777">
            <w:pPr>
              <w:spacing w:before="120" w:after="120"/>
            </w:pPr>
            <w:r w:rsidRPr="00C379C8">
              <w:rPr>
                <w:i/>
                <w:iCs/>
              </w:rPr>
              <w:t>Chapter I – Subject Matter, Scope and Definitions,</w:t>
            </w:r>
            <w:r w:rsidRPr="00C379C8">
              <w:rPr>
                <w:b/>
                <w:bCs/>
              </w:rPr>
              <w:t xml:space="preserve"> </w:t>
            </w:r>
            <w:r w:rsidRPr="00C379C8">
              <w:t>sets out the subject matter of this proposal, which consists of measures that articulate its overall objective to improve the functioning of the internal market by establishing a framework to strengthen the competitiveness of the biotechnology sector and specifies the scope of the proposal, which applies to health biotechnology products and services during their entire lifecycle,</w:t>
            </w:r>
          </w:p>
          <w:p w:rsidR="00FE448B" w:rsidRPr="00C379C8" w:rsidP="002F6A28" w14:paraId="4904EE76" w14:textId="77777777">
            <w:pPr>
              <w:spacing w:before="120" w:after="120"/>
            </w:pPr>
            <w:r w:rsidRPr="00C379C8">
              <w:rPr>
                <w:i/>
                <w:iCs/>
              </w:rPr>
              <w:t>Chapter II – Union health biotechnology and biomanufacturing,</w:t>
            </w:r>
            <w:r w:rsidRPr="00C379C8">
              <w:rPr>
                <w:b/>
                <w:bCs/>
              </w:rPr>
              <w:t xml:space="preserve"> </w:t>
            </w:r>
            <w:r w:rsidRPr="00C379C8">
              <w:t>introduces the concepts of health biotechnology strategic projects and high impact health biotechnology strategic projects and establishes a framework for the recognition and the support of such projects aimed at strengthening the EU's industrial biomanufacturing capacity and value chains.</w:t>
            </w:r>
          </w:p>
          <w:p w:rsidR="00FE448B" w:rsidRPr="00C379C8" w:rsidP="002F6A28" w14:paraId="5D3CF9E9" w14:textId="77777777">
            <w:pPr>
              <w:spacing w:before="120" w:after="120"/>
            </w:pPr>
            <w:r w:rsidRPr="00C379C8">
              <w:rPr>
                <w:i/>
                <w:iCs/>
              </w:rPr>
              <w:t>Chapter III – Access to funding,</w:t>
            </w:r>
            <w:r w:rsidRPr="00C379C8">
              <w:rPr>
                <w:b/>
                <w:bCs/>
              </w:rPr>
              <w:t xml:space="preserve"> </w:t>
            </w:r>
            <w:r w:rsidRPr="00C379C8">
              <w:t>establishes an EU health biotechnology investment pilot in partnership with the European Investment Bank Group and other implementing partners.</w:t>
            </w:r>
          </w:p>
          <w:p w:rsidR="00FE448B" w:rsidRPr="00C379C8" w:rsidP="002F6A28" w14:paraId="074C3FB5" w14:textId="77777777">
            <w:pPr>
              <w:spacing w:before="120" w:after="120"/>
            </w:pPr>
            <w:r w:rsidRPr="00C379C8">
              <w:rPr>
                <w:i/>
                <w:iCs/>
              </w:rPr>
              <w:t>Chapter IV – Extension of the supplementary protection certificate,</w:t>
            </w:r>
            <w:r w:rsidRPr="00C379C8">
              <w:rPr>
                <w:b/>
                <w:bCs/>
              </w:rPr>
              <w:t xml:space="preserve"> </w:t>
            </w:r>
            <w:r w:rsidRPr="00C379C8">
              <w:t>introduces an extension of 12 months of the Supplementary Protection Certificate (SPC) for medicinal products developed by means of biotechnology processes and for Advanced Therapy Medicinal Products.</w:t>
            </w:r>
          </w:p>
          <w:p w:rsidR="00FE448B" w:rsidRPr="00C379C8" w:rsidP="002F6A28" w14:paraId="1334B0FD" w14:textId="77777777">
            <w:pPr>
              <w:spacing w:before="120" w:after="120"/>
            </w:pPr>
            <w:r w:rsidRPr="00C379C8">
              <w:rPr>
                <w:i/>
                <w:iCs/>
              </w:rPr>
              <w:t>Chapter V - Enhancing competitiveness in biosimilars,</w:t>
            </w:r>
            <w:r w:rsidRPr="00C379C8">
              <w:rPr>
                <w:b/>
                <w:bCs/>
              </w:rPr>
              <w:t xml:space="preserve"> </w:t>
            </w:r>
            <w:r w:rsidRPr="00C379C8">
              <w:t>supports EU competitiveness in the field of biosimilars by encouraging the development of EMA guidelines on facilitating the authorisation of biosimilar medicinal products</w:t>
            </w:r>
          </w:p>
          <w:p w:rsidR="00FE448B" w:rsidRPr="00C379C8" w:rsidP="002F6A28" w14:paraId="67769028" w14:textId="77777777">
            <w:pPr>
              <w:spacing w:before="120" w:after="120"/>
            </w:pPr>
            <w:r w:rsidRPr="00C379C8">
              <w:rPr>
                <w:i/>
                <w:iCs/>
              </w:rPr>
              <w:t>Chapter VI – Artificial intelligence and data as biotechnology enablers,</w:t>
            </w:r>
            <w:r w:rsidRPr="00C379C8">
              <w:rPr>
                <w:b/>
                <w:bCs/>
              </w:rPr>
              <w:t xml:space="preserve"> </w:t>
            </w:r>
            <w:r w:rsidRPr="00C379C8">
              <w:t>encourages the adoption and integration of AI in actions supporting biotechnology, to foster innovation, efficiency and technological sovereignty in biotechnology and biomanufacturing.</w:t>
            </w:r>
          </w:p>
          <w:p w:rsidR="00FE448B" w:rsidRPr="00C379C8" w:rsidP="002F6A28" w14:paraId="4A853BDA" w14:textId="77777777">
            <w:pPr>
              <w:spacing w:before="120" w:after="120"/>
            </w:pPr>
            <w:r w:rsidRPr="00C379C8">
              <w:rPr>
                <w:i/>
                <w:iCs/>
              </w:rPr>
              <w:t>Chapter VII – Regulatory tools for novel health biotechnology products,</w:t>
            </w:r>
            <w:r w:rsidRPr="00C379C8">
              <w:rPr>
                <w:b/>
                <w:bCs/>
              </w:rPr>
              <w:t xml:space="preserve"> </w:t>
            </w:r>
            <w:r w:rsidRPr="00C379C8">
              <w:t>sets out a flexible, collaborative and anticipatory approach to regulate novel health biotechnology products by reinforcing and complementing existing mechanisms in Union law,</w:t>
            </w:r>
          </w:p>
          <w:p w:rsidR="00FE448B" w:rsidRPr="00C379C8" w:rsidP="002F6A28" w14:paraId="7455F48E" w14:textId="77777777">
            <w:pPr>
              <w:spacing w:before="120" w:after="120"/>
            </w:pPr>
            <w:r w:rsidRPr="00C379C8">
              <w:rPr>
                <w:i/>
                <w:iCs/>
              </w:rPr>
              <w:t>Chapter VIII – Biodefence and preventing biotechnology misuse,</w:t>
            </w:r>
            <w:r w:rsidRPr="00C379C8">
              <w:t xml:space="preserve"> establishes a framework for preventing the misuse of biotechnology products of concern.</w:t>
            </w:r>
          </w:p>
          <w:p w:rsidR="00FE448B" w:rsidRPr="00C379C8" w:rsidP="002F6A28" w14:paraId="2093EE0A" w14:textId="77777777">
            <w:pPr>
              <w:spacing w:before="120" w:after="120"/>
            </w:pPr>
            <w:r w:rsidRPr="00C379C8">
              <w:rPr>
                <w:i/>
                <w:iCs/>
              </w:rPr>
              <w:t xml:space="preserve">Chapter IX – Amendments to Regulations (EC) No 178/2002, (EC) No 1394/2007, (EU) No 536/2014, (EU) 2019/6, (EU) 2024/795 and (EU) 2024/1938, </w:t>
            </w:r>
            <w:r w:rsidRPr="00C379C8">
              <w:t>introduces amendments to EU legislative frameworks in the areas of health and food and feed safety with the aim of simplifying procedures and accelerating time to market that are necessary to ensure the effectiveness of the substantive provisions established in this proposal by creating legislative frameworks conducive to innovation. Further, it establishes amendments to Regulation (EU) 2024/795 (STEP Regulation) regarding the status of health biotechnology strategic projects and of high impact health biote</w:t>
            </w:r>
            <w:r w:rsidRPr="00C379C8">
              <w:t>chnology strategic projects under that Regulation.</w:t>
            </w:r>
          </w:p>
          <w:p w:rsidR="00FE448B" w:rsidRPr="00C379C8" w:rsidP="002F6A28" w14:paraId="661FB23F" w14:textId="77777777">
            <w:pPr>
              <w:spacing w:before="120" w:after="120"/>
            </w:pPr>
            <w:r w:rsidRPr="00C379C8">
              <w:rPr>
                <w:i/>
                <w:iCs/>
              </w:rPr>
              <w:t>Chapter X – Final provisions,</w:t>
            </w:r>
            <w:r w:rsidRPr="00C379C8">
              <w:t xml:space="preserve"> contains provisions on (i) monitoring; (ii) delegation of power; (iii) committee procedure, (iv) an obligation for the Commission to prepare regular reports to the European Parliament and to the Council for the evaluation of this Regulation; (v) handling of confidential information, and entry into force and application.</w:t>
            </w:r>
          </w:p>
          <w:p w:rsidR="00FE448B" w:rsidRPr="00C379C8" w:rsidP="002F6A28" w14:paraId="69061910" w14:textId="77777777">
            <w:pPr>
              <w:spacing w:before="120" w:after="120"/>
            </w:pPr>
            <w:r w:rsidRPr="00C379C8">
              <w:rPr>
                <w:i/>
                <w:iCs/>
              </w:rPr>
              <w:t>Annexes to the proposal:</w:t>
            </w:r>
          </w:p>
          <w:p w:rsidR="00FE448B" w:rsidRPr="00C379C8" w:rsidP="002F6A28" w14:paraId="29FC7685" w14:textId="77777777">
            <w:pPr>
              <w:spacing w:before="120" w:after="120"/>
            </w:pPr>
            <w:r w:rsidRPr="00C379C8">
              <w:t>Annex I- Biotechnology Products of Concern</w:t>
            </w:r>
          </w:p>
          <w:p w:rsidR="00FE448B" w:rsidRPr="00C379C8" w:rsidP="002F6A28" w14:paraId="555BA1E2" w14:textId="77777777">
            <w:pPr>
              <w:spacing w:before="120" w:after="120"/>
            </w:pPr>
            <w:r w:rsidRPr="00C379C8">
              <w:t>Annex II- Amendments to Regulation (EU) 536/2014</w:t>
            </w:r>
          </w:p>
          <w:p w:rsidR="00FE448B" w:rsidRPr="00C379C8" w:rsidP="002F6A28" w14:paraId="375E4593" w14:textId="77777777">
            <w:pPr>
              <w:spacing w:before="120" w:after="120"/>
            </w:pPr>
            <w:r w:rsidRPr="00C379C8">
              <w:t>Annex III- Amendments to Regulation (EU) 2019/6</w:t>
            </w:r>
          </w:p>
        </w:tc>
      </w:tr>
      <w:tr w14:paraId="29A5425F" w14:textId="77777777" w:rsidTr="00DB13FE">
        <w:tblPrEx>
          <w:tblW w:w="5000" w:type="pct"/>
          <w:tblLayout w:type="fixed"/>
          <w:tblLook w:val="0000"/>
        </w:tblPrEx>
        <w:tc>
          <w:tcPr>
            <w:tcW w:w="607" w:type="dxa"/>
          </w:tcPr>
          <w:p w:rsidR="00F85C99" w:rsidRPr="002F6A28" w:rsidP="002F6A28" w14:paraId="31C0DED3" w14:textId="77777777">
            <w:pPr>
              <w:spacing w:before="120" w:after="120"/>
              <w:jc w:val="left"/>
              <w:rPr>
                <w:b/>
              </w:rPr>
            </w:pPr>
            <w:r w:rsidRPr="002F6A28">
              <w:rPr>
                <w:b/>
              </w:rPr>
              <w:t>7.</w:t>
            </w:r>
          </w:p>
        </w:tc>
        <w:tc>
          <w:tcPr>
            <w:tcW w:w="8373" w:type="dxa"/>
          </w:tcPr>
          <w:p w:rsidR="00F85C99" w:rsidRPr="002F6A28" w:rsidP="002F6A28" w14:paraId="4F311952"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744DAF1B" w14:textId="77777777" w:rsidTr="00DB13FE">
        <w:tblPrEx>
          <w:tblW w:w="5000" w:type="pct"/>
          <w:tblLayout w:type="fixed"/>
          <w:tblLook w:val="0000"/>
        </w:tblPrEx>
        <w:tc>
          <w:tcPr>
            <w:tcW w:w="607" w:type="dxa"/>
          </w:tcPr>
          <w:p w:rsidR="00F85C99" w:rsidRPr="002F6A28" w:rsidP="009E75ED" w14:paraId="43EFF959" w14:textId="77777777">
            <w:pPr>
              <w:spacing w:before="120" w:after="120"/>
              <w:jc w:val="left"/>
              <w:rPr>
                <w:b/>
              </w:rPr>
            </w:pPr>
            <w:r w:rsidRPr="002F6A28">
              <w:rPr>
                <w:b/>
              </w:rPr>
              <w:t>8.</w:t>
            </w:r>
          </w:p>
        </w:tc>
        <w:tc>
          <w:tcPr>
            <w:tcW w:w="8373" w:type="dxa"/>
          </w:tcPr>
          <w:p w:rsidR="000C3B6C" w:rsidRPr="00EC00D2" w:rsidP="007F13E8" w14:paraId="683DA611" w14:textId="77777777">
            <w:pPr>
              <w:spacing w:before="120" w:after="120"/>
              <w:rPr>
                <w:bCs/>
              </w:rPr>
            </w:pPr>
            <w:r w:rsidRPr="002F6A28">
              <w:rPr>
                <w:b/>
              </w:rPr>
              <w:t>Relevant documents:</w:t>
            </w:r>
            <w:r w:rsidRPr="002F6A28" w:rsidR="00EE3A11">
              <w:t xml:space="preserve"> </w:t>
            </w:r>
          </w:p>
          <w:p w:rsidR="00EE3A11" w:rsidRPr="002F6A28" w:rsidP="007F13E8" w14:paraId="2018D91B" w14:textId="77777777">
            <w:pPr>
              <w:spacing w:before="120" w:after="120"/>
            </w:pPr>
            <w:r w:rsidRPr="002F6A28">
              <w:t>-</w:t>
            </w:r>
            <w:hyperlink r:id="rId9" w:history="1">
              <w:r w:rsidRPr="002F6A28">
                <w:rPr>
                  <w:color w:val="0000FF"/>
                  <w:u w:val="single"/>
                </w:rPr>
                <w:t>EUR-Lex - 52025PC1022 - EN - EUR-Lex</w:t>
              </w:r>
            </w:hyperlink>
          </w:p>
        </w:tc>
      </w:tr>
      <w:tr w14:paraId="14E0EB66" w14:textId="77777777" w:rsidTr="00DB13FE">
        <w:tblPrEx>
          <w:tblW w:w="5000" w:type="pct"/>
          <w:tblLayout w:type="fixed"/>
          <w:tblLook w:val="0000"/>
        </w:tblPrEx>
        <w:tc>
          <w:tcPr>
            <w:tcW w:w="607" w:type="dxa"/>
          </w:tcPr>
          <w:p w:rsidR="00EE3A11" w:rsidRPr="002F6A28" w:rsidP="002F6A28" w14:paraId="634397E4" w14:textId="77777777">
            <w:pPr>
              <w:spacing w:before="120" w:after="120"/>
              <w:jc w:val="left"/>
              <w:rPr>
                <w:b/>
              </w:rPr>
            </w:pPr>
            <w:r w:rsidRPr="002F6A28">
              <w:rPr>
                <w:b/>
              </w:rPr>
              <w:t>9.</w:t>
            </w:r>
          </w:p>
        </w:tc>
        <w:tc>
          <w:tcPr>
            <w:tcW w:w="8373" w:type="dxa"/>
          </w:tcPr>
          <w:p w:rsidR="00EE3A11" w:rsidRPr="002F6A28" w:rsidP="008953C4" w14:paraId="3326F40C" w14:textId="77777777">
            <w:pPr>
              <w:spacing w:before="120" w:after="120"/>
            </w:pPr>
            <w:r w:rsidRPr="002F6A28">
              <w:rPr>
                <w:b/>
              </w:rPr>
              <w:t>Proposed date of adoption:</w:t>
            </w:r>
            <w:r w:rsidRPr="00C379C8">
              <w:t xml:space="preserve"> To be determined</w:t>
            </w:r>
          </w:p>
          <w:p w:rsidR="00EE3A11" w:rsidRPr="002F6A28" w:rsidP="008953C4" w14:paraId="786D519D" w14:textId="77777777">
            <w:pPr>
              <w:spacing w:after="120"/>
            </w:pPr>
            <w:r w:rsidRPr="002F6A28">
              <w:rPr>
                <w:b/>
              </w:rPr>
              <w:t>Proposed date of entry into force:</w:t>
            </w:r>
            <w:r w:rsidRPr="00C379C8">
              <w:t xml:space="preserve"> The Regulation shall enter into force on the twentieth day following that of its publication in the Official Journal of the European Union.</w:t>
            </w:r>
          </w:p>
        </w:tc>
      </w:tr>
      <w:tr w14:paraId="6066CBCB" w14:textId="77777777" w:rsidTr="00DB13FE">
        <w:tblPrEx>
          <w:tblW w:w="5000" w:type="pct"/>
          <w:tblLayout w:type="fixed"/>
          <w:tblLook w:val="0000"/>
        </w:tblPrEx>
        <w:tc>
          <w:tcPr>
            <w:tcW w:w="607" w:type="dxa"/>
            <w:tcBorders>
              <w:bottom w:val="double" w:sz="4" w:space="0" w:color="auto"/>
            </w:tcBorders>
          </w:tcPr>
          <w:p w:rsidR="00F85C99" w:rsidRPr="002F6A28" w:rsidP="002F6A28" w14:paraId="13B3692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D66A8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0C21AC2" w14:textId="77777777">
            <w:pPr>
              <w:spacing w:before="120" w:after="120"/>
              <w:rPr>
                <w:bCs/>
              </w:rPr>
            </w:pPr>
            <w:r w:rsidRPr="002F6A28">
              <w:rPr>
                <w:b/>
              </w:rPr>
              <w:t>Final date for comments:</w:t>
            </w:r>
            <w:r w:rsidRPr="00C379C8" w:rsidR="00EE3A11">
              <w:t xml:space="preserve"> 18 April 2026</w:t>
            </w:r>
          </w:p>
          <w:p w:rsidR="000C3B6C" w:rsidRPr="00E3324D" w:rsidP="000C3B6C" w14:paraId="01894A2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AEEDD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8C322E3" w14:textId="77777777">
            <w:r w:rsidRPr="00CE6C29">
              <w:t>European Commission,</w:t>
            </w:r>
          </w:p>
          <w:p w:rsidR="00CE6C29" w:rsidRPr="00CE6C29" w:rsidP="000C3B6C" w14:paraId="411E2024" w14:textId="77777777">
            <w:r w:rsidRPr="00CE6C29">
              <w:t>EU-TBT Enquiry Point,</w:t>
            </w:r>
          </w:p>
          <w:p w:rsidR="00CE6C29" w:rsidRPr="00CE6C29" w:rsidP="000C3B6C" w14:paraId="3BC3D3B7" w14:textId="77777777">
            <w:r w:rsidRPr="00CE6C29">
              <w:t>Fax: + (32) 2 299 80 43,</w:t>
            </w:r>
          </w:p>
          <w:p w:rsidR="00CE6C29" w:rsidRPr="00CE6C29" w:rsidP="000C3B6C" w14:paraId="629DF257"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62A522E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E86D4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2E810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1D64A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03C09F" w14:textId="77777777">
    <w:pPr>
      <w:pStyle w:val="Header"/>
      <w:pBdr>
        <w:bottom w:val="single" w:sz="4" w:space="1" w:color="auto"/>
      </w:pBdr>
      <w:tabs>
        <w:tab w:val="clear" w:pos="4513"/>
        <w:tab w:val="clear" w:pos="9027"/>
      </w:tabs>
      <w:jc w:val="center"/>
    </w:pPr>
    <w:r w:rsidRPr="002F6A28">
      <w:t>tbtSymbol</w:t>
    </w:r>
  </w:p>
  <w:p w:rsidR="009239F7" w:rsidRPr="002F6A28" w:rsidP="009239F7" w14:paraId="14019431" w14:textId="77777777">
    <w:pPr>
      <w:pStyle w:val="Header"/>
      <w:pBdr>
        <w:bottom w:val="single" w:sz="4" w:space="1" w:color="auto"/>
      </w:pBdr>
      <w:tabs>
        <w:tab w:val="clear" w:pos="4513"/>
        <w:tab w:val="clear" w:pos="9027"/>
      </w:tabs>
      <w:jc w:val="center"/>
    </w:pPr>
  </w:p>
  <w:p w:rsidR="009239F7" w:rsidRPr="002F6A28" w:rsidP="009239F7" w14:paraId="1B9EDC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7112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01A2DD" w14:textId="77777777">
    <w:pPr>
      <w:pStyle w:val="Header"/>
      <w:pBdr>
        <w:bottom w:val="single" w:sz="4" w:space="1" w:color="auto"/>
      </w:pBdr>
      <w:tabs>
        <w:tab w:val="clear" w:pos="4513"/>
        <w:tab w:val="clear" w:pos="9027"/>
      </w:tabs>
      <w:jc w:val="center"/>
    </w:pPr>
    <w:bookmarkStart w:id="0" w:name="spsSymbolHeader"/>
    <w:r w:rsidRPr="002F6A28">
      <w:t>G/TBT/N/EU/1189</w:t>
    </w:r>
    <w:bookmarkEnd w:id="0"/>
  </w:p>
  <w:p w:rsidR="009239F7" w:rsidRPr="002F6A28" w:rsidP="009239F7" w14:paraId="3AD1CC21" w14:textId="77777777">
    <w:pPr>
      <w:pStyle w:val="Header"/>
      <w:pBdr>
        <w:bottom w:val="single" w:sz="4" w:space="1" w:color="auto"/>
      </w:pBdr>
      <w:tabs>
        <w:tab w:val="clear" w:pos="4513"/>
        <w:tab w:val="clear" w:pos="9027"/>
      </w:tabs>
      <w:jc w:val="center"/>
    </w:pPr>
  </w:p>
  <w:p w:rsidR="009239F7" w:rsidRPr="002F6A28" w:rsidP="009239F7" w14:paraId="1D90F1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C9310B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1B097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631AB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050846" w14:textId="77777777">
          <w:pPr>
            <w:jc w:val="right"/>
            <w:rPr>
              <w:b/>
              <w:color w:val="FF0000"/>
              <w:szCs w:val="16"/>
            </w:rPr>
          </w:pPr>
        </w:p>
      </w:tc>
    </w:tr>
    <w:bookmarkEnd w:id="1"/>
    <w:tr w14:paraId="73F96E5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A47289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ED2D8E" w14:textId="77777777">
          <w:pPr>
            <w:jc w:val="right"/>
            <w:rPr>
              <w:b/>
              <w:szCs w:val="16"/>
            </w:rPr>
          </w:pPr>
        </w:p>
      </w:tc>
    </w:tr>
    <w:tr w14:paraId="728D36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0BAE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228D23" w14:textId="77777777">
          <w:pPr>
            <w:jc w:val="right"/>
            <w:rPr>
              <w:b/>
              <w:szCs w:val="16"/>
            </w:rPr>
          </w:pPr>
          <w:bookmarkStart w:id="2" w:name="bmkSymbols"/>
          <w:r w:rsidRPr="002F6A28">
            <w:rPr>
              <w:b/>
              <w:szCs w:val="16"/>
            </w:rPr>
            <w:t>G/TBT/N/EU/1189</w:t>
          </w:r>
          <w:bookmarkEnd w:id="2"/>
        </w:p>
      </w:tc>
    </w:tr>
    <w:tr w14:paraId="47E06B4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82142B" w14:textId="77777777"/>
      </w:tc>
      <w:tc>
        <w:tcPr>
          <w:tcW w:w="5448" w:type="dxa"/>
          <w:gridSpan w:val="2"/>
          <w:shd w:val="clear" w:color="auto" w:fill="FFFFFF"/>
          <w:tcMar>
            <w:left w:w="108" w:type="dxa"/>
            <w:right w:w="108" w:type="dxa"/>
          </w:tcMar>
          <w:vAlign w:val="center"/>
        </w:tcPr>
        <w:p w:rsidR="00ED54E0" w:rsidRPr="009239F7" w:rsidP="00B801E9" w14:paraId="4F4C9441" w14:textId="77777777">
          <w:pPr>
            <w:jc w:val="right"/>
            <w:rPr>
              <w:szCs w:val="16"/>
            </w:rPr>
          </w:pPr>
          <w:bookmarkStart w:id="3" w:name="spsDateDistribution"/>
          <w:bookmarkStart w:id="4" w:name="bmkDate"/>
          <w:r w:rsidRPr="009239F7">
            <w:rPr>
              <w:szCs w:val="16"/>
            </w:rPr>
            <w:t>17 February 2026</w:t>
          </w:r>
          <w:bookmarkEnd w:id="3"/>
          <w:bookmarkEnd w:id="4"/>
        </w:p>
      </w:tc>
    </w:tr>
    <w:tr w14:paraId="0D83BFA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77FC787" w14:textId="77777777">
          <w:pPr>
            <w:jc w:val="left"/>
            <w:rPr>
              <w:b/>
            </w:rPr>
          </w:pPr>
          <w:bookmarkStart w:id="5" w:name="bmkSerial"/>
          <w:r>
            <w:rPr>
              <w:rFonts w:ascii="Verdana" w:eastAsia="Verdana" w:hAnsi="Verdana" w:cs="Verdana"/>
              <w:b w:val="0"/>
              <w:color w:val="FF0000"/>
              <w:sz w:val="18"/>
            </w:rPr>
            <w:t>(26-1108)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1645E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068972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25C274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45AF4A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77C00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3230983">
    <w:abstractNumId w:val="9"/>
  </w:num>
  <w:num w:numId="2" w16cid:durableId="1043021539">
    <w:abstractNumId w:val="7"/>
  </w:num>
  <w:num w:numId="3" w16cid:durableId="406459990">
    <w:abstractNumId w:val="6"/>
  </w:num>
  <w:num w:numId="4" w16cid:durableId="1969162889">
    <w:abstractNumId w:val="5"/>
  </w:num>
  <w:num w:numId="5" w16cid:durableId="1208836686">
    <w:abstractNumId w:val="4"/>
  </w:num>
  <w:num w:numId="6" w16cid:durableId="2046371015">
    <w:abstractNumId w:val="12"/>
  </w:num>
  <w:num w:numId="7" w16cid:durableId="623773958">
    <w:abstractNumId w:val="11"/>
  </w:num>
  <w:num w:numId="8" w16cid:durableId="2004702132">
    <w:abstractNumId w:val="10"/>
  </w:num>
  <w:num w:numId="9" w16cid:durableId="292367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9436">
    <w:abstractNumId w:val="13"/>
  </w:num>
  <w:num w:numId="11" w16cid:durableId="42099073">
    <w:abstractNumId w:val="8"/>
  </w:num>
  <w:num w:numId="12" w16cid:durableId="1948386149">
    <w:abstractNumId w:val="3"/>
  </w:num>
  <w:num w:numId="13" w16cid:durableId="1755080462">
    <w:abstractNumId w:val="2"/>
  </w:num>
  <w:num w:numId="14" w16cid:durableId="1696348451">
    <w:abstractNumId w:val="1"/>
  </w:num>
  <w:num w:numId="15" w16cid:durableId="145767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AC3"/>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2DFA"/>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1F2B"/>
    <w:rsid w:val="00A12DDE"/>
    <w:rsid w:val="00A31389"/>
    <w:rsid w:val="00A6057A"/>
    <w:rsid w:val="00A611FF"/>
    <w:rsid w:val="00A64451"/>
    <w:rsid w:val="00A71BE1"/>
    <w:rsid w:val="00A74017"/>
    <w:rsid w:val="00A747A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B41A8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0950_00_e.pdf" TargetMode="External" /><Relationship Id="rId8" Type="http://schemas.openxmlformats.org/officeDocument/2006/relationships/hyperlink" Target="https://members.wto.org/crnattachments/2026/TBT/EEC/26_00950_01_e.pdf" TargetMode="External" /><Relationship Id="rId9" Type="http://schemas.openxmlformats.org/officeDocument/2006/relationships/hyperlink" Target="https://eur-lex.europa.eu/legal-content/EN/TXT/?uri=CELEX:52025PC102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2026-02-17T07:20:00Z</dcterms:created>
  <dcterms:modified xsi:type="dcterms:W3CDTF">2026-02-17T07:20:00Z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