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20B3A8B" w14:textId="77777777">
      <w:pPr>
        <w:pStyle w:val="Title"/>
        <w:rPr>
          <w:caps w:val="0"/>
          <w:kern w:val="0"/>
        </w:rPr>
      </w:pPr>
      <w:r w:rsidRPr="002F6A28">
        <w:rPr>
          <w:caps w:val="0"/>
          <w:kern w:val="0"/>
        </w:rPr>
        <w:t>NOTIFICATION</w:t>
      </w:r>
    </w:p>
    <w:p w:rsidR="009239F7" w:rsidRPr="002F6A28" w:rsidP="002F6A28" w14:paraId="03D1AA89" w14:textId="77777777">
      <w:pPr>
        <w:jc w:val="center"/>
      </w:pPr>
      <w:r w:rsidRPr="002F6A28">
        <w:t>The following notification is being circulated in accordance with Article 10.6</w:t>
      </w:r>
    </w:p>
    <w:p w:rsidR="009239F7" w:rsidRPr="002F6A28" w:rsidP="002F6A28" w14:paraId="1D87FA8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5E3904E" w14:textId="77777777" w:rsidTr="00DB13FE">
        <w:tblPrEx>
          <w:tblW w:w="5000" w:type="pct"/>
          <w:tblLayout w:type="fixed"/>
          <w:tblLook w:val="0000"/>
        </w:tblPrEx>
        <w:tc>
          <w:tcPr>
            <w:tcW w:w="607" w:type="dxa"/>
            <w:tcBorders>
              <w:top w:val="double" w:sz="4" w:space="0" w:color="auto"/>
            </w:tcBorders>
          </w:tcPr>
          <w:p w:rsidR="00F85C99" w:rsidRPr="002F6A28" w:rsidP="002F6A28" w14:paraId="04A3C73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A1E1E9A" w14:textId="77777777">
            <w:pPr>
              <w:spacing w:before="120" w:after="120"/>
            </w:pPr>
            <w:r w:rsidRPr="002F6A28">
              <w:rPr>
                <w:b/>
              </w:rPr>
              <w:t>Notifying Member:</w:t>
            </w:r>
            <w:r w:rsidRPr="00C92678" w:rsidR="00EE3A11">
              <w:t xml:space="preserve"> </w:t>
            </w:r>
            <w:r w:rsidRPr="00C92678" w:rsidR="00EE3A11">
              <w:rPr>
                <w:u w:val="single"/>
              </w:rPr>
              <w:t>DENMARK</w:t>
            </w:r>
          </w:p>
          <w:p w:rsidR="00F85C99" w:rsidRPr="002F6A28" w:rsidP="002F6A28" w14:paraId="1088A9B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BECB8CE" w14:textId="77777777" w:rsidTr="00DB13FE">
        <w:tblPrEx>
          <w:tblW w:w="5000" w:type="pct"/>
          <w:tblLayout w:type="fixed"/>
          <w:tblLook w:val="0000"/>
        </w:tblPrEx>
        <w:tc>
          <w:tcPr>
            <w:tcW w:w="607" w:type="dxa"/>
          </w:tcPr>
          <w:p w:rsidR="00F85C99" w:rsidRPr="002F6A28" w:rsidP="002F6A28" w14:paraId="6623F915" w14:textId="77777777">
            <w:pPr>
              <w:spacing w:before="120" w:after="120"/>
              <w:jc w:val="left"/>
            </w:pPr>
            <w:r w:rsidRPr="002F6A28">
              <w:rPr>
                <w:b/>
              </w:rPr>
              <w:t>2.</w:t>
            </w:r>
          </w:p>
        </w:tc>
        <w:tc>
          <w:tcPr>
            <w:tcW w:w="8373" w:type="dxa"/>
          </w:tcPr>
          <w:p w:rsidR="00F85C99" w:rsidRPr="002F6A28" w:rsidP="000C3B6C" w14:paraId="0D177CA3" w14:textId="77777777">
            <w:pPr>
              <w:spacing w:before="120" w:after="120"/>
            </w:pPr>
            <w:r w:rsidRPr="002F6A28">
              <w:rPr>
                <w:b/>
              </w:rPr>
              <w:t>Agency responsible:</w:t>
            </w:r>
            <w:r w:rsidRPr="00C379C8" w:rsidR="00EE3A11">
              <w:t xml:space="preserve"> </w:t>
            </w:r>
          </w:p>
          <w:p w:rsidR="00EE3A11" w:rsidRPr="00C379C8" w:rsidP="000C3B6C" w14:paraId="5915432B" w14:textId="77777777">
            <w:r w:rsidRPr="00C379C8">
              <w:t>Danish Business Authority</w:t>
            </w:r>
          </w:p>
          <w:p w:rsidR="00EE3A11" w:rsidRPr="00C379C8" w:rsidP="000C3B6C" w14:paraId="1FBEAD2D" w14:textId="77777777">
            <w:r w:rsidRPr="00C379C8">
              <w:t>Langelinie Allé 17</w:t>
            </w:r>
          </w:p>
          <w:p w:rsidR="00EE3A11" w:rsidRPr="00D245C8" w:rsidP="000C3B6C" w14:paraId="7106680B" w14:textId="77777777">
            <w:pPr>
              <w:rPr>
                <w:lang w:val="es-ES"/>
              </w:rPr>
            </w:pPr>
            <w:r w:rsidRPr="00D245C8">
              <w:rPr>
                <w:lang w:val="es-ES"/>
              </w:rPr>
              <w:t>DK 2100 Copenhagen O</w:t>
            </w:r>
          </w:p>
          <w:p w:rsidR="00EE3A11" w:rsidRPr="00D245C8" w:rsidP="000C3B6C" w14:paraId="1DD25FE4" w14:textId="77777777">
            <w:pPr>
              <w:rPr>
                <w:lang w:val="es-ES"/>
              </w:rPr>
            </w:pPr>
            <w:r w:rsidRPr="00D245C8">
              <w:rPr>
                <w:lang w:val="es-ES"/>
              </w:rPr>
              <w:t>+45 3529 1000</w:t>
            </w:r>
          </w:p>
          <w:p w:rsidR="00EE3A11" w:rsidRPr="00D245C8" w:rsidP="000C3B6C" w14:paraId="2AB564E7" w14:textId="77777777">
            <w:pPr>
              <w:spacing w:after="120"/>
              <w:rPr>
                <w:lang w:val="es-ES"/>
              </w:rPr>
            </w:pPr>
            <w:hyperlink r:id="rId5" w:history="1">
              <w:r w:rsidRPr="00D245C8">
                <w:rPr>
                  <w:color w:val="0000FF"/>
                  <w:u w:val="single"/>
                  <w:lang w:val="es-ES"/>
                </w:rPr>
                <w:t>erst@notifikationer.erst.dk</w:t>
              </w:r>
            </w:hyperlink>
          </w:p>
        </w:tc>
      </w:tr>
      <w:tr w14:paraId="1EECDDBA" w14:textId="77777777" w:rsidTr="00DB13FE">
        <w:tblPrEx>
          <w:tblW w:w="5000" w:type="pct"/>
          <w:tblLayout w:type="fixed"/>
          <w:tblLook w:val="0000"/>
        </w:tblPrEx>
        <w:tc>
          <w:tcPr>
            <w:tcW w:w="607" w:type="dxa"/>
          </w:tcPr>
          <w:p w:rsidR="00F85C99" w:rsidRPr="002F6A28" w:rsidP="002F6A28" w14:paraId="137A63DF" w14:textId="77777777">
            <w:pPr>
              <w:spacing w:before="120" w:after="120"/>
              <w:jc w:val="left"/>
              <w:rPr>
                <w:b/>
              </w:rPr>
            </w:pPr>
            <w:r w:rsidRPr="002F6A28">
              <w:rPr>
                <w:b/>
              </w:rPr>
              <w:t>3.</w:t>
            </w:r>
          </w:p>
        </w:tc>
        <w:tc>
          <w:tcPr>
            <w:tcW w:w="8373" w:type="dxa"/>
          </w:tcPr>
          <w:p w:rsidR="00F85C99" w:rsidRPr="0058336F" w:rsidP="002F6A28" w14:paraId="59561BD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The Technical Regulation has been notified as well in acordance with the notification-procedures in Directive (EU) 2015/1535 (Directive (EU) 2015/1535 of the European Parliament and of the Council of 9 September 2015 laying down a procedure for the provision of information in the field of technical regulations and of rules on Information Society services).</w:t>
            </w:r>
          </w:p>
          <w:p w:rsidR="003531C5" w:rsidP="002F6A28" w14:paraId="57778317" w14:textId="77777777">
            <w:pPr>
              <w:spacing w:before="120" w:after="120"/>
            </w:pPr>
            <w:r>
              <w:t>The relevant internal ID: 2025/387/DK</w:t>
            </w:r>
          </w:p>
        </w:tc>
      </w:tr>
      <w:tr w14:paraId="7A858C69" w14:textId="77777777" w:rsidTr="00DB13FE">
        <w:tblPrEx>
          <w:tblW w:w="5000" w:type="pct"/>
          <w:tblLayout w:type="fixed"/>
          <w:tblLook w:val="0000"/>
        </w:tblPrEx>
        <w:tc>
          <w:tcPr>
            <w:tcW w:w="607" w:type="dxa"/>
          </w:tcPr>
          <w:p w:rsidR="00F85C99" w:rsidRPr="002F6A28" w:rsidP="002F6A28" w14:paraId="0002F048" w14:textId="77777777">
            <w:pPr>
              <w:spacing w:before="120" w:after="120"/>
              <w:jc w:val="left"/>
            </w:pPr>
            <w:r w:rsidRPr="002F6A28">
              <w:rPr>
                <w:b/>
              </w:rPr>
              <w:t>4.</w:t>
            </w:r>
          </w:p>
        </w:tc>
        <w:tc>
          <w:tcPr>
            <w:tcW w:w="8373" w:type="dxa"/>
          </w:tcPr>
          <w:p w:rsidR="00F85C99" w:rsidRPr="002F6A28" w:rsidP="002F6A28" w14:paraId="0BC8A71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CERAMIC PRODUCTS (HS code(s): 69); GLASS AND GLASSWARE (HS code(s): 70); MISCELLANEOUS MANUFACTURED ARTICLES (HS code(s): 96); Environment. Health protection. Safety </w:t>
            </w:r>
          </w:p>
          <w:p w:rsidR="00EE3A11" w:rsidRPr="00C379C8" w:rsidP="002F6A28" w14:paraId="2BBFDCC7" w14:textId="77777777">
            <w:pPr>
              <w:spacing w:before="120" w:after="120"/>
            </w:pPr>
            <w:r w:rsidRPr="00C379C8">
              <w:t>(ICS code(s): 13); Packaging and distribution of goods (ICS code(s): 55); Agriculture (ICS code(s): 65); Glass and ceramics industries (ICS code(s): 81); Domestic and commercial equipment. Entertainment. Sports (ICS code(s): 97)</w:t>
            </w:r>
          </w:p>
        </w:tc>
      </w:tr>
      <w:tr w14:paraId="6A29EA21" w14:textId="77777777" w:rsidTr="00DB13FE">
        <w:tblPrEx>
          <w:tblW w:w="5000" w:type="pct"/>
          <w:tblLayout w:type="fixed"/>
          <w:tblLook w:val="0000"/>
        </w:tblPrEx>
        <w:tc>
          <w:tcPr>
            <w:tcW w:w="607" w:type="dxa"/>
          </w:tcPr>
          <w:p w:rsidR="00F85C99" w:rsidRPr="002F6A28" w:rsidP="002F6A28" w14:paraId="7068A23C" w14:textId="77777777">
            <w:pPr>
              <w:spacing w:before="120" w:after="120"/>
              <w:jc w:val="left"/>
            </w:pPr>
            <w:r w:rsidRPr="002F6A28">
              <w:rPr>
                <w:b/>
              </w:rPr>
              <w:t>5.</w:t>
            </w:r>
          </w:p>
        </w:tc>
        <w:tc>
          <w:tcPr>
            <w:tcW w:w="8373" w:type="dxa"/>
          </w:tcPr>
          <w:p w:rsidR="00F85C99" w:rsidP="002F6A28" w14:paraId="7924CF01" w14:textId="049D8C42">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Bekendtgørelse om fødevarekontaktmaterialer og om straffebestemmelser for overtrædelse af relaterede EU-retsakter/Danish Order on food contact</w:t>
            </w:r>
            <w:r w:rsidR="00D245C8">
              <w:t xml:space="preserve"> </w:t>
            </w:r>
            <w:r w:rsidRPr="00C379C8" w:rsidR="00EE3A11">
              <w:t>materials and regarding penal provision on the relevant EU-legislation on food contact materials;</w:t>
            </w:r>
          </w:p>
          <w:p w:rsidR="00EE3A11" w:rsidRPr="00C379C8" w:rsidP="002F6A28" w14:paraId="14265945" w14:textId="77777777">
            <w:pPr>
              <w:spacing w:before="120" w:after="120"/>
            </w:pPr>
            <w:r w:rsidRPr="00C379C8">
              <w:t>The attached draft amending the legislative decree establishes new lower migration limits for lead and cadmium from enamelled articles and glass, and clarifies the applicable requirements for declaration of compliance for all food contact materials.; (22 page(s), in Danish)</w:t>
            </w:r>
          </w:p>
          <w:p w:rsidR="000C3B6C" w:rsidRPr="000C3B6C" w:rsidP="002F6A28" w14:paraId="1E3B61F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27F93" w:rsidRPr="00CE6C29" w:rsidP="002F6A28" w14:paraId="67292507"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https://members.wto.org/crnattachments/2026/TBT/DNK/26_00867_00_x.pdf</w:t>
              </w:r>
            </w:hyperlink>
          </w:p>
          <w:p w:rsidR="00227F93" w:rsidRPr="00CE6C29" w:rsidP="002F6A28" w14:paraId="307E6C83" w14:textId="77777777">
            <w:pPr>
              <w:rPr>
                <w:iCs/>
              </w:rPr>
            </w:pPr>
            <w:r w:rsidRPr="00CE6C29">
              <w:rPr>
                <w:iCs/>
              </w:rPr>
              <w:t>The Danish Veterinary, Food, Agriculture and Fisheries Agency (DVFAFA)</w:t>
            </w:r>
          </w:p>
          <w:p w:rsidR="00227F93" w:rsidRPr="00CE6C29" w:rsidP="002F6A28" w14:paraId="7D15B7CD" w14:textId="77777777">
            <w:pPr>
              <w:rPr>
                <w:iCs/>
              </w:rPr>
            </w:pPr>
            <w:r w:rsidRPr="00CE6C29">
              <w:rPr>
                <w:iCs/>
              </w:rPr>
              <w:t>Stationsparken 31-33</w:t>
            </w:r>
          </w:p>
          <w:p w:rsidR="00227F93" w:rsidRPr="00CE6C29" w:rsidP="002F6A28" w14:paraId="453927FC" w14:textId="77777777">
            <w:pPr>
              <w:rPr>
                <w:iCs/>
              </w:rPr>
            </w:pPr>
            <w:r w:rsidRPr="00CE6C29">
              <w:rPr>
                <w:iCs/>
              </w:rPr>
              <w:t>DK 2600 Glostrup</w:t>
            </w:r>
          </w:p>
          <w:p w:rsidR="00227F93" w:rsidRPr="00CE6C29" w:rsidP="002F6A28" w14:paraId="3CBFD9C5" w14:textId="77777777">
            <w:pPr>
              <w:rPr>
                <w:iCs/>
              </w:rPr>
            </w:pPr>
            <w:r w:rsidRPr="00CE6C29">
              <w:rPr>
                <w:iCs/>
              </w:rPr>
              <w:t>+45 7227 6900</w:t>
            </w:r>
          </w:p>
          <w:p w:rsidR="00227F93" w:rsidRPr="00CE6C29" w:rsidP="002F6A28" w14:paraId="271231A3" w14:textId="77777777">
            <w:pPr>
              <w:rPr>
                <w:iCs/>
              </w:rPr>
            </w:pPr>
            <w:hyperlink r:id="rId7" w:history="1">
              <w:r w:rsidRPr="00CE6C29">
                <w:rPr>
                  <w:iCs/>
                  <w:color w:val="0000FF"/>
                  <w:u w:val="single"/>
                </w:rPr>
                <w:t>294@fvst.dk</w:t>
              </w:r>
            </w:hyperlink>
          </w:p>
          <w:p w:rsidR="00227F93" w:rsidRPr="00CE6C29" w:rsidP="002F6A28" w14:paraId="0006F03E" w14:textId="77777777">
            <w:pPr>
              <w:rPr>
                <w:iCs/>
              </w:rPr>
            </w:pPr>
            <w:r w:rsidRPr="00CE6C29">
              <w:rPr>
                <w:iCs/>
              </w:rPr>
              <w:t>www.fvst.dk</w:t>
            </w:r>
          </w:p>
          <w:p w:rsidR="00227F93" w:rsidRPr="00CE6C29" w:rsidP="002F6A28" w14:paraId="253B2C94" w14:textId="77777777">
            <w:pPr>
              <w:spacing w:after="120"/>
              <w:rPr>
                <w:iCs/>
              </w:rPr>
            </w:pPr>
            <w:hyperlink r:id="rId8" w:tgtFrame="_blank" w:history="1">
              <w:r w:rsidRPr="00CE6C29">
                <w:rPr>
                  <w:iCs/>
                  <w:color w:val="0000FF"/>
                  <w:u w:val="single"/>
                </w:rPr>
                <w:t>https://foedevarestyrelsen.dk/</w:t>
              </w:r>
            </w:hyperlink>
          </w:p>
        </w:tc>
      </w:tr>
      <w:tr w14:paraId="7221254D" w14:textId="77777777" w:rsidTr="00DB13FE">
        <w:tblPrEx>
          <w:tblW w:w="5000" w:type="pct"/>
          <w:tblLayout w:type="fixed"/>
          <w:tblLook w:val="0000"/>
        </w:tblPrEx>
        <w:tc>
          <w:tcPr>
            <w:tcW w:w="607" w:type="dxa"/>
          </w:tcPr>
          <w:p w:rsidR="00F85C99" w:rsidRPr="002F6A28" w:rsidP="002F6A28" w14:paraId="6507DC96" w14:textId="77777777">
            <w:pPr>
              <w:spacing w:before="120" w:after="120"/>
              <w:jc w:val="left"/>
              <w:rPr>
                <w:b/>
              </w:rPr>
            </w:pPr>
            <w:r w:rsidRPr="002F6A28">
              <w:rPr>
                <w:b/>
              </w:rPr>
              <w:t>6.</w:t>
            </w:r>
          </w:p>
        </w:tc>
        <w:tc>
          <w:tcPr>
            <w:tcW w:w="8373" w:type="dxa"/>
          </w:tcPr>
          <w:p w:rsidR="00F85C99" w:rsidRPr="002F6A28" w:rsidP="002F6A28" w14:paraId="79A65635" w14:textId="77777777">
            <w:pPr>
              <w:spacing w:before="120" w:after="120"/>
              <w:rPr>
                <w:b/>
              </w:rPr>
            </w:pPr>
            <w:r w:rsidRPr="002F6A28">
              <w:rPr>
                <w:b/>
              </w:rPr>
              <w:t>Description of content:</w:t>
            </w:r>
            <w:r w:rsidRPr="00C379C8" w:rsidR="00FE448B">
              <w:t xml:space="preserve"> The attached draft amending the legislative decree is a Danish supplementary legislation to Regulation (EC) No 1935/2004 of the European Parliament and of the Council of 27 October 2004 on materials and articles intended to come into contact with food.</w:t>
            </w:r>
          </w:p>
          <w:p w:rsidR="00FE448B" w:rsidRPr="00C379C8" w:rsidP="002F6A28" w14:paraId="7D4628C9" w14:textId="77777777">
            <w:pPr>
              <w:spacing w:before="120" w:after="120"/>
            </w:pPr>
            <w:r w:rsidRPr="00C379C8">
              <w:t xml:space="preserve">The draft establishes an increased demand for the use of Declaration of compliance. Paragraph 5 specifies the formal requirements for the declaration of conformity to which food contact materials marketed in Denmark at an earlier stage than the retail stage must be accompanied. The requirements for the declaration of conformity are set out in Annex 1 and apply without prejudice to specific measures issued by the Commission pursuant to Article 5 of Regulation (EC) No 1935/2004 of the European Parliament and </w:t>
            </w:r>
            <w:r w:rsidRPr="00C379C8">
              <w:t>of the Council on food contact materials and articles. Requirements for the declaration of conformity have been established by reference to Article 16(2) of Regulation (EC) No 1935/2004 of the European Parliament and of the Council on materials and articles intended to come into contact with food.</w:t>
            </w:r>
          </w:p>
          <w:p w:rsidR="00FE448B" w:rsidRPr="00C379C8" w:rsidP="002F6A28" w14:paraId="079798D7" w14:textId="77777777">
            <w:pPr>
              <w:spacing w:before="120" w:after="120"/>
            </w:pPr>
            <w:r w:rsidRPr="00C379C8">
              <w:t>Furthermore, the draft establishes new lower migration limits for lead and cadmium from enamelled articles and glass. Paragraph 10 specifies that enamelled articles and glassware may only be placed on the market in Denmark if they comply with the migration limits for lead and cadmium set out in Annex 5 to the legislative decree.</w:t>
            </w:r>
          </w:p>
          <w:p w:rsidR="00FE448B" w:rsidRPr="00C379C8" w:rsidP="002F6A28" w14:paraId="5DCF2048" w14:textId="77777777">
            <w:pPr>
              <w:spacing w:before="120" w:after="120"/>
            </w:pPr>
            <w:r w:rsidRPr="00C379C8">
              <w:t>The new migration limits for lead and cadmium</w:t>
            </w:r>
          </w:p>
          <w:p w:rsidR="00FE448B" w:rsidP="002F6A28" w14:paraId="6E16627D" w14:textId="6A397375">
            <w:pPr>
              <w:spacing w:before="120" w:after="120"/>
            </w:pPr>
          </w:p>
          <w:tbl>
            <w:tblPr>
              <w:tblW w:w="7617" w:type="dxa"/>
              <w:tblCellSpacing w:w="15" w:type="dxa"/>
              <w:tblBorders>
                <w:insideH w:val="single" w:sz="4" w:space="0" w:color="auto"/>
                <w:insideV w:val="single" w:sz="4" w:space="0" w:color="auto"/>
              </w:tblBorders>
              <w:tblLayout w:type="fixed"/>
              <w:tblCellMar>
                <w:top w:w="15" w:type="dxa"/>
                <w:left w:w="15" w:type="dxa"/>
                <w:bottom w:w="15" w:type="dxa"/>
                <w:right w:w="15" w:type="dxa"/>
              </w:tblCellMar>
              <w:tblLook w:val="04A0"/>
            </w:tblPr>
            <w:tblGrid>
              <w:gridCol w:w="4923"/>
              <w:gridCol w:w="993"/>
              <w:gridCol w:w="1701"/>
            </w:tblGrid>
            <w:tr w14:paraId="132F407F" w14:textId="77777777" w:rsidTr="00D245C8">
              <w:tblPrEx>
                <w:tblW w:w="7617" w:type="dxa"/>
                <w:tblLayout w:type="fixed"/>
                <w:tblLook w:val="04A0"/>
              </w:tblPrEx>
              <w:tc>
                <w:tcPr>
                  <w:tcW w:w="4878" w:type="dxa"/>
                  <w:vAlign w:val="center"/>
                  <w:hideMark/>
                </w:tcPr>
                <w:p w:rsidR="00D245C8" w:rsidRPr="002D649F" w:rsidP="00D245C8" w14:paraId="68211ACF" w14:textId="77777777">
                  <w:pPr>
                    <w:jc w:val="left"/>
                    <w:rPr>
                      <w:rFonts w:eastAsia="Times New Roman"/>
                      <w:szCs w:val="18"/>
                      <w:lang w:eastAsia="en-GB"/>
                    </w:rPr>
                  </w:pPr>
                  <w:r w:rsidRPr="002D649F">
                    <w:rPr>
                      <w:rFonts w:eastAsia="Times New Roman"/>
                      <w:szCs w:val="18"/>
                      <w:lang w:eastAsia="en-GB"/>
                    </w:rPr>
                    <w:t> </w:t>
                  </w:r>
                </w:p>
              </w:tc>
              <w:tc>
                <w:tcPr>
                  <w:tcW w:w="963" w:type="dxa"/>
                  <w:vAlign w:val="center"/>
                  <w:hideMark/>
                </w:tcPr>
                <w:p w:rsidR="00D245C8" w:rsidRPr="002D649F" w:rsidP="00D245C8" w14:paraId="590E7168" w14:textId="77777777">
                  <w:pPr>
                    <w:jc w:val="left"/>
                    <w:rPr>
                      <w:rFonts w:eastAsia="Times New Roman"/>
                      <w:szCs w:val="18"/>
                      <w:lang w:eastAsia="en-GB"/>
                    </w:rPr>
                  </w:pPr>
                  <w:r w:rsidRPr="002D649F">
                    <w:rPr>
                      <w:rFonts w:eastAsia="Times New Roman"/>
                      <w:szCs w:val="18"/>
                      <w:lang w:eastAsia="en-GB"/>
                    </w:rPr>
                    <w:t>Lead</w:t>
                  </w:r>
                </w:p>
              </w:tc>
              <w:tc>
                <w:tcPr>
                  <w:tcW w:w="1656" w:type="dxa"/>
                  <w:vAlign w:val="center"/>
                  <w:hideMark/>
                </w:tcPr>
                <w:p w:rsidR="00D245C8" w:rsidRPr="002D649F" w:rsidP="00D245C8" w14:paraId="1A218670" w14:textId="77777777">
                  <w:pPr>
                    <w:jc w:val="left"/>
                    <w:rPr>
                      <w:rFonts w:eastAsia="Times New Roman"/>
                      <w:szCs w:val="18"/>
                      <w:lang w:eastAsia="en-GB"/>
                    </w:rPr>
                  </w:pPr>
                  <w:r w:rsidRPr="002D649F">
                    <w:rPr>
                      <w:rFonts w:eastAsia="Times New Roman"/>
                      <w:szCs w:val="18"/>
                      <w:lang w:eastAsia="en-GB"/>
                    </w:rPr>
                    <w:t>Cadmium</w:t>
                  </w:r>
                </w:p>
              </w:tc>
            </w:tr>
            <w:tr w14:paraId="454754F3" w14:textId="77777777" w:rsidTr="00D245C8">
              <w:tblPrEx>
                <w:tblW w:w="7617" w:type="dxa"/>
                <w:tblLayout w:type="fixed"/>
                <w:tblLook w:val="04A0"/>
              </w:tblPrEx>
              <w:tc>
                <w:tcPr>
                  <w:tcW w:w="4878" w:type="dxa"/>
                  <w:vAlign w:val="center"/>
                  <w:hideMark/>
                </w:tcPr>
                <w:p w:rsidR="00D245C8" w:rsidRPr="002D649F" w:rsidP="00D245C8" w14:paraId="16C9F865" w14:textId="77777777">
                  <w:pPr>
                    <w:jc w:val="left"/>
                    <w:rPr>
                      <w:rFonts w:eastAsia="Times New Roman"/>
                      <w:szCs w:val="18"/>
                      <w:lang w:eastAsia="en-GB"/>
                    </w:rPr>
                  </w:pPr>
                  <w:r w:rsidRPr="002D649F">
                    <w:rPr>
                      <w:rFonts w:eastAsia="Times New Roman"/>
                      <w:szCs w:val="18"/>
                      <w:lang w:eastAsia="en-GB"/>
                    </w:rPr>
                    <w:t>Category A:</w:t>
                  </w:r>
                </w:p>
              </w:tc>
              <w:tc>
                <w:tcPr>
                  <w:tcW w:w="963" w:type="dxa"/>
                  <w:vAlign w:val="center"/>
                  <w:hideMark/>
                </w:tcPr>
                <w:p w:rsidR="00D245C8" w:rsidRPr="002D649F" w:rsidP="00D245C8" w14:paraId="5D4AED44" w14:textId="77777777">
                  <w:pPr>
                    <w:jc w:val="left"/>
                    <w:rPr>
                      <w:rFonts w:eastAsia="Times New Roman"/>
                      <w:szCs w:val="18"/>
                      <w:lang w:eastAsia="en-GB"/>
                    </w:rPr>
                  </w:pPr>
                  <w:r w:rsidRPr="002D649F">
                    <w:rPr>
                      <w:rFonts w:eastAsia="Times New Roman"/>
                      <w:szCs w:val="18"/>
                      <w:lang w:eastAsia="en-GB"/>
                    </w:rPr>
                    <w:t> </w:t>
                  </w:r>
                </w:p>
              </w:tc>
              <w:tc>
                <w:tcPr>
                  <w:tcW w:w="1656" w:type="dxa"/>
                  <w:vAlign w:val="center"/>
                  <w:hideMark/>
                </w:tcPr>
                <w:p w:rsidR="00D245C8" w:rsidRPr="002D649F" w:rsidP="00D245C8" w14:paraId="1E7D3AD9" w14:textId="77777777">
                  <w:pPr>
                    <w:jc w:val="left"/>
                    <w:rPr>
                      <w:rFonts w:eastAsia="Times New Roman"/>
                      <w:szCs w:val="18"/>
                      <w:lang w:eastAsia="en-GB"/>
                    </w:rPr>
                  </w:pPr>
                  <w:r w:rsidRPr="002D649F">
                    <w:rPr>
                      <w:rFonts w:eastAsia="Times New Roman"/>
                      <w:szCs w:val="18"/>
                      <w:lang w:eastAsia="en-GB"/>
                    </w:rPr>
                    <w:t> </w:t>
                  </w:r>
                </w:p>
              </w:tc>
            </w:tr>
            <w:tr w14:paraId="1458E0DC" w14:textId="77777777" w:rsidTr="00D245C8">
              <w:tblPrEx>
                <w:tblW w:w="7617" w:type="dxa"/>
                <w:tblLayout w:type="fixed"/>
                <w:tblLook w:val="04A0"/>
              </w:tblPrEx>
              <w:tc>
                <w:tcPr>
                  <w:tcW w:w="4878" w:type="dxa"/>
                  <w:vAlign w:val="center"/>
                  <w:hideMark/>
                </w:tcPr>
                <w:p w:rsidR="00D245C8" w:rsidRPr="00D245C8" w:rsidP="00D245C8" w14:paraId="5C92B801" w14:textId="77777777">
                  <w:pPr>
                    <w:jc w:val="left"/>
                    <w:rPr>
                      <w:rFonts w:eastAsia="Times New Roman"/>
                      <w:szCs w:val="18"/>
                      <w:lang w:eastAsia="en-GB"/>
                    </w:rPr>
                  </w:pPr>
                  <w:r w:rsidRPr="002D649F">
                    <w:rPr>
                      <w:rFonts w:eastAsia="Times New Roman"/>
                      <w:szCs w:val="18"/>
                      <w:lang w:eastAsia="en-GB"/>
                    </w:rPr>
                    <w:t> </w:t>
                  </w:r>
                </w:p>
                <w:p w:rsidR="00D245C8" w:rsidRPr="002D649F" w:rsidP="00D245C8" w14:paraId="03A9F461" w14:textId="77777777">
                  <w:pPr>
                    <w:jc w:val="left"/>
                    <w:rPr>
                      <w:rFonts w:eastAsia="Times New Roman"/>
                      <w:szCs w:val="18"/>
                      <w:lang w:eastAsia="en-GB"/>
                    </w:rPr>
                  </w:pPr>
                  <w:r w:rsidRPr="002D649F">
                    <w:rPr>
                      <w:rFonts w:eastAsia="Times New Roman"/>
                      <w:szCs w:val="18"/>
                      <w:lang w:eastAsia="en-GB"/>
                    </w:rPr>
                    <w:t>Articles which cannot be filled</w:t>
                  </w:r>
                </w:p>
              </w:tc>
              <w:tc>
                <w:tcPr>
                  <w:tcW w:w="963" w:type="dxa"/>
                  <w:vMerge w:val="restart"/>
                  <w:vAlign w:val="center"/>
                  <w:hideMark/>
                </w:tcPr>
                <w:p w:rsidR="00D245C8" w:rsidRPr="002D649F" w:rsidP="00D245C8" w14:paraId="2A10E3F0" w14:textId="77777777">
                  <w:pPr>
                    <w:jc w:val="left"/>
                    <w:rPr>
                      <w:rFonts w:eastAsia="Times New Roman"/>
                      <w:szCs w:val="18"/>
                      <w:lang w:eastAsia="en-GB"/>
                    </w:rPr>
                  </w:pPr>
                  <w:r w:rsidRPr="002D649F">
                    <w:rPr>
                      <w:rFonts w:eastAsia="Times New Roman"/>
                      <w:szCs w:val="18"/>
                      <w:lang w:eastAsia="en-GB"/>
                    </w:rPr>
                    <w:t>0,3 µg/dm2</w:t>
                  </w:r>
                </w:p>
              </w:tc>
              <w:tc>
                <w:tcPr>
                  <w:tcW w:w="1656" w:type="dxa"/>
                  <w:vMerge w:val="restart"/>
                  <w:vAlign w:val="center"/>
                  <w:hideMark/>
                </w:tcPr>
                <w:p w:rsidR="00D245C8" w:rsidRPr="002D649F" w:rsidP="00D245C8" w14:paraId="65053897" w14:textId="77777777">
                  <w:pPr>
                    <w:jc w:val="left"/>
                    <w:rPr>
                      <w:rFonts w:eastAsia="Times New Roman"/>
                      <w:szCs w:val="18"/>
                      <w:lang w:eastAsia="en-GB"/>
                    </w:rPr>
                  </w:pPr>
                  <w:r w:rsidRPr="002D649F">
                    <w:rPr>
                      <w:rFonts w:eastAsia="Times New Roman"/>
                      <w:szCs w:val="18"/>
                      <w:lang w:eastAsia="en-GB"/>
                    </w:rPr>
                    <w:t>0,4 µg/dm2</w:t>
                  </w:r>
                </w:p>
              </w:tc>
            </w:tr>
            <w:tr w14:paraId="48D000FB" w14:textId="77777777" w:rsidTr="00D245C8">
              <w:tblPrEx>
                <w:tblW w:w="7617" w:type="dxa"/>
                <w:tblLayout w:type="fixed"/>
                <w:tblLook w:val="04A0"/>
              </w:tblPrEx>
              <w:tc>
                <w:tcPr>
                  <w:tcW w:w="4878" w:type="dxa"/>
                  <w:vAlign w:val="center"/>
                  <w:hideMark/>
                </w:tcPr>
                <w:p w:rsidR="00D245C8" w:rsidRPr="00D245C8" w:rsidP="00D245C8" w14:paraId="30B70FE5" w14:textId="77777777">
                  <w:pPr>
                    <w:jc w:val="left"/>
                    <w:rPr>
                      <w:rFonts w:eastAsia="Times New Roman"/>
                      <w:szCs w:val="18"/>
                      <w:lang w:eastAsia="en-GB"/>
                    </w:rPr>
                  </w:pPr>
                  <w:r w:rsidRPr="002D649F">
                    <w:rPr>
                      <w:rFonts w:eastAsia="Times New Roman"/>
                      <w:szCs w:val="18"/>
                      <w:lang w:eastAsia="en-GB"/>
                    </w:rPr>
                    <w:t> </w:t>
                  </w:r>
                </w:p>
                <w:p w:rsidR="00D245C8" w:rsidRPr="002D649F" w:rsidP="00D245C8" w14:paraId="79E991F7" w14:textId="77777777">
                  <w:pPr>
                    <w:jc w:val="left"/>
                    <w:rPr>
                      <w:rFonts w:eastAsia="Times New Roman"/>
                      <w:szCs w:val="18"/>
                      <w:lang w:eastAsia="en-GB"/>
                    </w:rPr>
                  </w:pPr>
                  <w:r w:rsidRPr="002D649F">
                    <w:rPr>
                      <w:rFonts w:eastAsia="Times New Roman"/>
                      <w:szCs w:val="18"/>
                      <w:lang w:eastAsia="en-GB"/>
                    </w:rPr>
                    <w:t>Articles which can be filled, the internal depth of which, measured from the lowest point to the horizontal plane passing through the upper rim, does not exceed 25 mm</w:t>
                  </w:r>
                </w:p>
              </w:tc>
              <w:tc>
                <w:tcPr>
                  <w:tcW w:w="963" w:type="dxa"/>
                  <w:vMerge/>
                  <w:vAlign w:val="center"/>
                  <w:hideMark/>
                </w:tcPr>
                <w:p w:rsidR="00D245C8" w:rsidRPr="002D649F" w:rsidP="00D245C8" w14:paraId="10919F67" w14:textId="77777777">
                  <w:pPr>
                    <w:jc w:val="left"/>
                    <w:rPr>
                      <w:rFonts w:eastAsia="Times New Roman"/>
                      <w:szCs w:val="18"/>
                      <w:lang w:eastAsia="en-GB"/>
                    </w:rPr>
                  </w:pPr>
                </w:p>
              </w:tc>
              <w:tc>
                <w:tcPr>
                  <w:tcW w:w="1656" w:type="dxa"/>
                  <w:vMerge/>
                  <w:vAlign w:val="center"/>
                  <w:hideMark/>
                </w:tcPr>
                <w:p w:rsidR="00D245C8" w:rsidRPr="002D649F" w:rsidP="00D245C8" w14:paraId="3D9CF0D5" w14:textId="77777777">
                  <w:pPr>
                    <w:jc w:val="left"/>
                    <w:rPr>
                      <w:rFonts w:eastAsia="Times New Roman"/>
                      <w:szCs w:val="18"/>
                      <w:lang w:eastAsia="en-GB"/>
                    </w:rPr>
                  </w:pPr>
                </w:p>
              </w:tc>
            </w:tr>
            <w:tr w14:paraId="254AF618" w14:textId="77777777" w:rsidTr="00D245C8">
              <w:tblPrEx>
                <w:tblW w:w="7617" w:type="dxa"/>
                <w:tblLayout w:type="fixed"/>
                <w:tblLook w:val="04A0"/>
              </w:tblPrEx>
              <w:tc>
                <w:tcPr>
                  <w:tcW w:w="4878" w:type="dxa"/>
                  <w:vAlign w:val="center"/>
                  <w:hideMark/>
                </w:tcPr>
                <w:p w:rsidR="00D245C8" w:rsidRPr="00D245C8" w:rsidP="00D245C8" w14:paraId="6EC282B5" w14:textId="77777777">
                  <w:pPr>
                    <w:jc w:val="left"/>
                    <w:rPr>
                      <w:rFonts w:eastAsia="Times New Roman"/>
                      <w:szCs w:val="18"/>
                      <w:lang w:eastAsia="en-GB"/>
                    </w:rPr>
                  </w:pPr>
                  <w:r w:rsidRPr="002D649F">
                    <w:rPr>
                      <w:rFonts w:eastAsia="Times New Roman"/>
                      <w:szCs w:val="18"/>
                      <w:lang w:eastAsia="en-GB"/>
                    </w:rPr>
                    <w:t> </w:t>
                  </w:r>
                </w:p>
                <w:p w:rsidR="00D245C8" w:rsidRPr="002D649F" w:rsidP="00D245C8" w14:paraId="371D5EAD" w14:textId="77777777">
                  <w:pPr>
                    <w:jc w:val="left"/>
                    <w:rPr>
                      <w:rFonts w:eastAsia="Times New Roman"/>
                      <w:szCs w:val="18"/>
                      <w:lang w:eastAsia="en-GB"/>
                    </w:rPr>
                  </w:pPr>
                  <w:r w:rsidRPr="002D649F">
                    <w:rPr>
                      <w:rFonts w:eastAsia="Times New Roman"/>
                      <w:szCs w:val="18"/>
                      <w:lang w:eastAsia="en-GB"/>
                    </w:rPr>
                    <w:t>The rim of the article intended for drinking</w:t>
                  </w:r>
                </w:p>
              </w:tc>
              <w:tc>
                <w:tcPr>
                  <w:tcW w:w="963" w:type="dxa"/>
                  <w:vMerge/>
                  <w:vAlign w:val="center"/>
                  <w:hideMark/>
                </w:tcPr>
                <w:p w:rsidR="00D245C8" w:rsidRPr="002D649F" w:rsidP="00D245C8" w14:paraId="7CC5F5AD" w14:textId="77777777">
                  <w:pPr>
                    <w:jc w:val="left"/>
                    <w:rPr>
                      <w:rFonts w:eastAsia="Times New Roman"/>
                      <w:szCs w:val="18"/>
                      <w:lang w:eastAsia="en-GB"/>
                    </w:rPr>
                  </w:pPr>
                </w:p>
              </w:tc>
              <w:tc>
                <w:tcPr>
                  <w:tcW w:w="1656" w:type="dxa"/>
                  <w:vMerge/>
                  <w:vAlign w:val="center"/>
                  <w:hideMark/>
                </w:tcPr>
                <w:p w:rsidR="00D245C8" w:rsidRPr="002D649F" w:rsidP="00D245C8" w14:paraId="516EDE17" w14:textId="77777777">
                  <w:pPr>
                    <w:jc w:val="left"/>
                    <w:rPr>
                      <w:rFonts w:eastAsia="Times New Roman"/>
                      <w:szCs w:val="18"/>
                      <w:lang w:eastAsia="en-GB"/>
                    </w:rPr>
                  </w:pPr>
                </w:p>
              </w:tc>
            </w:tr>
            <w:tr w14:paraId="21E1E6B5" w14:textId="77777777" w:rsidTr="00D245C8">
              <w:tblPrEx>
                <w:tblW w:w="7617" w:type="dxa"/>
                <w:tblLayout w:type="fixed"/>
                <w:tblLook w:val="04A0"/>
              </w:tblPrEx>
              <w:tc>
                <w:tcPr>
                  <w:tcW w:w="4878" w:type="dxa"/>
                  <w:vAlign w:val="center"/>
                  <w:hideMark/>
                </w:tcPr>
                <w:p w:rsidR="00D245C8" w:rsidRPr="002D649F" w:rsidP="00D245C8" w14:paraId="47CFB31C" w14:textId="77777777">
                  <w:pPr>
                    <w:jc w:val="left"/>
                    <w:rPr>
                      <w:rFonts w:eastAsia="Times New Roman"/>
                      <w:szCs w:val="18"/>
                      <w:lang w:eastAsia="en-GB"/>
                    </w:rPr>
                  </w:pPr>
                  <w:r w:rsidRPr="002D649F">
                    <w:rPr>
                      <w:rFonts w:eastAsia="Times New Roman"/>
                      <w:szCs w:val="18"/>
                      <w:lang w:eastAsia="en-GB"/>
                    </w:rPr>
                    <w:t>Category B:</w:t>
                  </w:r>
                </w:p>
              </w:tc>
              <w:tc>
                <w:tcPr>
                  <w:tcW w:w="963" w:type="dxa"/>
                  <w:vAlign w:val="center"/>
                  <w:hideMark/>
                </w:tcPr>
                <w:p w:rsidR="00D245C8" w:rsidRPr="002D649F" w:rsidP="00D245C8" w14:paraId="06172273" w14:textId="77777777">
                  <w:pPr>
                    <w:jc w:val="left"/>
                    <w:rPr>
                      <w:rFonts w:eastAsia="Times New Roman"/>
                      <w:szCs w:val="18"/>
                      <w:lang w:eastAsia="en-GB"/>
                    </w:rPr>
                  </w:pPr>
                  <w:r w:rsidRPr="002D649F">
                    <w:rPr>
                      <w:rFonts w:eastAsia="Times New Roman"/>
                      <w:szCs w:val="18"/>
                      <w:lang w:eastAsia="en-GB"/>
                    </w:rPr>
                    <w:t> </w:t>
                  </w:r>
                </w:p>
              </w:tc>
              <w:tc>
                <w:tcPr>
                  <w:tcW w:w="1656" w:type="dxa"/>
                  <w:vAlign w:val="center"/>
                  <w:hideMark/>
                </w:tcPr>
                <w:p w:rsidR="00D245C8" w:rsidRPr="002D649F" w:rsidP="00D245C8" w14:paraId="4091511F" w14:textId="77777777">
                  <w:pPr>
                    <w:jc w:val="left"/>
                    <w:rPr>
                      <w:rFonts w:eastAsia="Times New Roman"/>
                      <w:szCs w:val="18"/>
                      <w:lang w:eastAsia="en-GB"/>
                    </w:rPr>
                  </w:pPr>
                  <w:r w:rsidRPr="002D649F">
                    <w:rPr>
                      <w:rFonts w:eastAsia="Times New Roman"/>
                      <w:szCs w:val="18"/>
                      <w:lang w:eastAsia="en-GB"/>
                    </w:rPr>
                    <w:t> </w:t>
                  </w:r>
                </w:p>
              </w:tc>
            </w:tr>
            <w:tr w14:paraId="52CAD33A" w14:textId="77777777" w:rsidTr="00D245C8">
              <w:tblPrEx>
                <w:tblW w:w="7617" w:type="dxa"/>
                <w:tblLayout w:type="fixed"/>
                <w:tblLook w:val="04A0"/>
              </w:tblPrEx>
              <w:tc>
                <w:tcPr>
                  <w:tcW w:w="4878" w:type="dxa"/>
                  <w:vAlign w:val="center"/>
                  <w:hideMark/>
                </w:tcPr>
                <w:p w:rsidR="00D245C8" w:rsidRPr="002D649F" w:rsidP="00D245C8" w14:paraId="725C7C6D" w14:textId="77777777">
                  <w:pPr>
                    <w:jc w:val="left"/>
                    <w:rPr>
                      <w:rFonts w:eastAsia="Times New Roman"/>
                      <w:szCs w:val="18"/>
                      <w:lang w:eastAsia="en-GB"/>
                    </w:rPr>
                  </w:pPr>
                  <w:r w:rsidRPr="002D649F">
                    <w:rPr>
                      <w:rFonts w:eastAsia="Times New Roman"/>
                      <w:szCs w:val="18"/>
                      <w:lang w:eastAsia="en-GB"/>
                    </w:rPr>
                    <w:t>Baby bottles</w:t>
                  </w:r>
                </w:p>
              </w:tc>
              <w:tc>
                <w:tcPr>
                  <w:tcW w:w="963" w:type="dxa"/>
                  <w:vMerge w:val="restart"/>
                  <w:vAlign w:val="center"/>
                  <w:hideMark/>
                </w:tcPr>
                <w:p w:rsidR="00D245C8" w:rsidRPr="002D649F" w:rsidP="00D245C8" w14:paraId="611E5729" w14:textId="77777777">
                  <w:pPr>
                    <w:jc w:val="left"/>
                    <w:rPr>
                      <w:rFonts w:eastAsia="Times New Roman"/>
                      <w:szCs w:val="18"/>
                      <w:lang w:eastAsia="en-GB"/>
                    </w:rPr>
                  </w:pPr>
                  <w:r w:rsidRPr="002D649F">
                    <w:rPr>
                      <w:rFonts w:eastAsia="Times New Roman"/>
                      <w:szCs w:val="18"/>
                      <w:lang w:eastAsia="en-GB"/>
                    </w:rPr>
                    <w:t>,5 µg/l</w:t>
                  </w:r>
                </w:p>
              </w:tc>
              <w:tc>
                <w:tcPr>
                  <w:tcW w:w="1656" w:type="dxa"/>
                  <w:vAlign w:val="center"/>
                  <w:hideMark/>
                </w:tcPr>
                <w:p w:rsidR="00D245C8" w:rsidRPr="002D649F" w:rsidP="00D245C8" w14:paraId="64029995" w14:textId="77777777">
                  <w:pPr>
                    <w:jc w:val="left"/>
                    <w:rPr>
                      <w:rFonts w:eastAsia="Times New Roman"/>
                      <w:szCs w:val="18"/>
                      <w:lang w:eastAsia="en-GB"/>
                    </w:rPr>
                  </w:pPr>
                  <w:r w:rsidRPr="002D649F">
                    <w:rPr>
                      <w:rFonts w:eastAsia="Times New Roman"/>
                      <w:szCs w:val="18"/>
                      <w:lang w:eastAsia="en-GB"/>
                    </w:rPr>
                    <w:t>0,35 µg/l</w:t>
                  </w:r>
                </w:p>
              </w:tc>
            </w:tr>
            <w:tr w14:paraId="05A5D23E" w14:textId="77777777" w:rsidTr="00D245C8">
              <w:tblPrEx>
                <w:tblW w:w="7617" w:type="dxa"/>
                <w:tblLayout w:type="fixed"/>
                <w:tblLook w:val="04A0"/>
              </w:tblPrEx>
              <w:tc>
                <w:tcPr>
                  <w:tcW w:w="4878" w:type="dxa"/>
                  <w:vAlign w:val="center"/>
                  <w:hideMark/>
                </w:tcPr>
                <w:p w:rsidR="00D245C8" w:rsidRPr="002D649F" w:rsidP="00D245C8" w14:paraId="4A1639B4" w14:textId="77777777">
                  <w:pPr>
                    <w:jc w:val="left"/>
                    <w:rPr>
                      <w:rFonts w:eastAsia="Times New Roman"/>
                      <w:szCs w:val="18"/>
                      <w:lang w:eastAsia="en-GB"/>
                    </w:rPr>
                  </w:pPr>
                  <w:r w:rsidRPr="002D649F">
                    <w:rPr>
                      <w:rFonts w:eastAsia="Times New Roman"/>
                      <w:szCs w:val="18"/>
                      <w:lang w:eastAsia="en-GB"/>
                    </w:rPr>
                    <w:t>Articles intended for drinking</w:t>
                  </w:r>
                </w:p>
              </w:tc>
              <w:tc>
                <w:tcPr>
                  <w:tcW w:w="963" w:type="dxa"/>
                  <w:vMerge/>
                  <w:vAlign w:val="center"/>
                  <w:hideMark/>
                </w:tcPr>
                <w:p w:rsidR="00D245C8" w:rsidRPr="002D649F" w:rsidP="00D245C8" w14:paraId="51B07BDE" w14:textId="77777777">
                  <w:pPr>
                    <w:jc w:val="left"/>
                    <w:rPr>
                      <w:rFonts w:eastAsia="Times New Roman"/>
                      <w:szCs w:val="18"/>
                      <w:lang w:eastAsia="en-GB"/>
                    </w:rPr>
                  </w:pPr>
                </w:p>
              </w:tc>
              <w:tc>
                <w:tcPr>
                  <w:tcW w:w="1656" w:type="dxa"/>
                  <w:vAlign w:val="center"/>
                  <w:hideMark/>
                </w:tcPr>
                <w:p w:rsidR="00D245C8" w:rsidRPr="002D649F" w:rsidP="00D245C8" w14:paraId="7A8CC671" w14:textId="77777777">
                  <w:pPr>
                    <w:jc w:val="left"/>
                    <w:rPr>
                      <w:rFonts w:eastAsia="Times New Roman"/>
                      <w:szCs w:val="18"/>
                      <w:lang w:eastAsia="en-GB"/>
                    </w:rPr>
                  </w:pPr>
                  <w:r w:rsidRPr="002D649F">
                    <w:rPr>
                      <w:rFonts w:eastAsia="Times New Roman"/>
                      <w:szCs w:val="18"/>
                      <w:lang w:eastAsia="en-GB"/>
                    </w:rPr>
                    <w:t>0,70 µg/l</w:t>
                  </w:r>
                </w:p>
              </w:tc>
            </w:tr>
            <w:tr w14:paraId="0B076C87" w14:textId="77777777" w:rsidTr="00D245C8">
              <w:tblPrEx>
                <w:tblW w:w="7617" w:type="dxa"/>
                <w:tblLayout w:type="fixed"/>
                <w:tblLook w:val="04A0"/>
              </w:tblPrEx>
              <w:trPr>
                <w:trHeight w:val="20"/>
              </w:trPr>
              <w:tc>
                <w:tcPr>
                  <w:tcW w:w="4878" w:type="dxa"/>
                  <w:vAlign w:val="center"/>
                  <w:hideMark/>
                </w:tcPr>
                <w:p w:rsidR="00D245C8" w:rsidRPr="002D649F" w:rsidP="00D245C8" w14:paraId="457F4B4C" w14:textId="77777777">
                  <w:pPr>
                    <w:jc w:val="left"/>
                    <w:rPr>
                      <w:rFonts w:eastAsia="Times New Roman"/>
                      <w:szCs w:val="18"/>
                      <w:lang w:eastAsia="en-GB"/>
                    </w:rPr>
                  </w:pPr>
                  <w:r w:rsidRPr="002D649F">
                    <w:rPr>
                      <w:rFonts w:eastAsia="Times New Roman"/>
                      <w:szCs w:val="18"/>
                      <w:lang w:eastAsia="en-GB"/>
                    </w:rPr>
                    <w:t>Other articles which can be filled</w:t>
                  </w:r>
                </w:p>
              </w:tc>
              <w:tc>
                <w:tcPr>
                  <w:tcW w:w="963" w:type="dxa"/>
                  <w:vMerge/>
                  <w:vAlign w:val="center"/>
                  <w:hideMark/>
                </w:tcPr>
                <w:p w:rsidR="00D245C8" w:rsidRPr="002D649F" w:rsidP="00D245C8" w14:paraId="3F7873FB" w14:textId="77777777">
                  <w:pPr>
                    <w:jc w:val="left"/>
                    <w:rPr>
                      <w:rFonts w:eastAsia="Times New Roman"/>
                      <w:szCs w:val="18"/>
                      <w:lang w:eastAsia="en-GB"/>
                    </w:rPr>
                  </w:pPr>
                </w:p>
              </w:tc>
              <w:tc>
                <w:tcPr>
                  <w:tcW w:w="1656" w:type="dxa"/>
                  <w:vAlign w:val="center"/>
                  <w:hideMark/>
                </w:tcPr>
                <w:p w:rsidR="00D245C8" w:rsidRPr="002D649F" w:rsidP="00D245C8" w14:paraId="0B064811" w14:textId="77777777">
                  <w:pPr>
                    <w:jc w:val="left"/>
                    <w:rPr>
                      <w:rFonts w:eastAsia="Times New Roman"/>
                      <w:szCs w:val="18"/>
                      <w:lang w:eastAsia="en-GB"/>
                    </w:rPr>
                  </w:pPr>
                  <w:r w:rsidRPr="002D649F">
                    <w:rPr>
                      <w:rFonts w:eastAsia="Times New Roman"/>
                      <w:szCs w:val="18"/>
                      <w:lang w:eastAsia="en-GB"/>
                    </w:rPr>
                    <w:t>2 µg/l</w:t>
                  </w:r>
                </w:p>
              </w:tc>
            </w:tr>
          </w:tbl>
          <w:p w:rsidR="00FE448B" w:rsidRPr="00C379C8" w:rsidP="002F6A28" w14:paraId="4F4701E9" w14:textId="77777777">
            <w:pPr>
              <w:spacing w:before="120" w:after="120"/>
            </w:pPr>
          </w:p>
        </w:tc>
      </w:tr>
      <w:tr w14:paraId="04669D50" w14:textId="77777777" w:rsidTr="00DB13FE">
        <w:tblPrEx>
          <w:tblW w:w="5000" w:type="pct"/>
          <w:tblLayout w:type="fixed"/>
          <w:tblLook w:val="0000"/>
        </w:tblPrEx>
        <w:tc>
          <w:tcPr>
            <w:tcW w:w="607" w:type="dxa"/>
          </w:tcPr>
          <w:p w:rsidR="00F85C99" w:rsidRPr="002F6A28" w:rsidP="002F6A28" w14:paraId="7CA0FD1F" w14:textId="77777777">
            <w:pPr>
              <w:spacing w:before="120" w:after="120"/>
              <w:jc w:val="left"/>
              <w:rPr>
                <w:b/>
              </w:rPr>
            </w:pPr>
            <w:r w:rsidRPr="002F6A28">
              <w:rPr>
                <w:b/>
              </w:rPr>
              <w:t>7.</w:t>
            </w:r>
          </w:p>
        </w:tc>
        <w:tc>
          <w:tcPr>
            <w:tcW w:w="8373" w:type="dxa"/>
          </w:tcPr>
          <w:p w:rsidR="00F85C99" w:rsidRPr="002F6A28" w:rsidP="002F6A28" w14:paraId="471B7BB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D8387EB" w14:textId="77777777" w:rsidTr="00DB13FE">
        <w:tblPrEx>
          <w:tblW w:w="5000" w:type="pct"/>
          <w:tblLayout w:type="fixed"/>
          <w:tblLook w:val="0000"/>
        </w:tblPrEx>
        <w:tc>
          <w:tcPr>
            <w:tcW w:w="607" w:type="dxa"/>
          </w:tcPr>
          <w:p w:rsidR="00F85C99" w:rsidRPr="002F6A28" w:rsidP="009E75ED" w14:paraId="6FADBA82" w14:textId="77777777">
            <w:pPr>
              <w:spacing w:before="120" w:after="120"/>
              <w:jc w:val="left"/>
              <w:rPr>
                <w:b/>
              </w:rPr>
            </w:pPr>
            <w:r w:rsidRPr="002F6A28">
              <w:rPr>
                <w:b/>
              </w:rPr>
              <w:t>8.</w:t>
            </w:r>
          </w:p>
        </w:tc>
        <w:tc>
          <w:tcPr>
            <w:tcW w:w="8373" w:type="dxa"/>
          </w:tcPr>
          <w:p w:rsidR="000C3B6C" w:rsidRPr="00EC00D2" w:rsidP="007F13E8" w14:paraId="76D9131F" w14:textId="77777777">
            <w:pPr>
              <w:spacing w:before="120" w:after="120"/>
              <w:rPr>
                <w:bCs/>
              </w:rPr>
            </w:pPr>
            <w:r w:rsidRPr="002F6A28">
              <w:rPr>
                <w:b/>
              </w:rPr>
              <w:t>Relevant documents:</w:t>
            </w:r>
            <w:r w:rsidRPr="002F6A28" w:rsidR="00EE3A11">
              <w:t xml:space="preserve"> </w:t>
            </w:r>
          </w:p>
          <w:p w:rsidR="00EE3A11" w:rsidRPr="002F6A28" w:rsidP="007F13E8" w14:paraId="00BF7CE2" w14:textId="77777777">
            <w:pPr>
              <w:numPr>
                <w:ilvl w:val="0"/>
                <w:numId w:val="16"/>
              </w:numPr>
              <w:spacing w:before="120" w:after="120"/>
            </w:pPr>
            <w:r w:rsidRPr="002F6A28">
              <w:t xml:space="preserve">Bekendtgørelse af lov om fødevarer (Danish Order on Food) LBK nr. 32 af 14/01/2025 (Gældende) Bekendtgørelse af lov om fødevarer </w:t>
            </w:r>
            <w:hyperlink r:id="rId9" w:history="1">
              <w:r w:rsidRPr="002F6A28">
                <w:rPr>
                  <w:color w:val="0000FF"/>
                  <w:u w:val="single"/>
                </w:rPr>
                <w:t>https://www.retsinformation.dk/eli/lta/2025/32</w:t>
              </w:r>
            </w:hyperlink>
            <w:r w:rsidRPr="002F6A28">
              <w:t xml:space="preserve"> (basic text)</w:t>
            </w:r>
          </w:p>
          <w:p w:rsidR="00EE3A11" w:rsidRPr="002F6A28" w:rsidP="007F13E8" w14:paraId="4D269DE0" w14:textId="77777777">
            <w:pPr>
              <w:numPr>
                <w:ilvl w:val="0"/>
                <w:numId w:val="16"/>
              </w:numPr>
              <w:spacing w:before="120" w:after="120"/>
            </w:pPr>
            <w:r w:rsidRPr="002F6A28">
              <w:t xml:space="preserve">Bekendtgørelse om fødevarekontaktmaterialer og om straffebestemmelser for overtrædelse af relaterede EU-retsakter/Danish Order on food contact materials </w:t>
            </w:r>
            <w:r w:rsidRPr="002F6A28">
              <w:t>and regarding penal provision on the relevant EU-legislation on food contact materials (Enclosed draft see above)</w:t>
            </w:r>
          </w:p>
        </w:tc>
      </w:tr>
      <w:tr w14:paraId="6EA181AB" w14:textId="77777777" w:rsidTr="00DB13FE">
        <w:tblPrEx>
          <w:tblW w:w="5000" w:type="pct"/>
          <w:tblLayout w:type="fixed"/>
          <w:tblLook w:val="0000"/>
        </w:tblPrEx>
        <w:tc>
          <w:tcPr>
            <w:tcW w:w="607" w:type="dxa"/>
          </w:tcPr>
          <w:p w:rsidR="00EE3A11" w:rsidRPr="002F6A28" w:rsidP="002F6A28" w14:paraId="1A023D1B" w14:textId="77777777">
            <w:pPr>
              <w:spacing w:before="120" w:after="120"/>
              <w:jc w:val="left"/>
              <w:rPr>
                <w:b/>
              </w:rPr>
            </w:pPr>
            <w:r w:rsidRPr="002F6A28">
              <w:rPr>
                <w:b/>
              </w:rPr>
              <w:t>9.</w:t>
            </w:r>
          </w:p>
        </w:tc>
        <w:tc>
          <w:tcPr>
            <w:tcW w:w="8373" w:type="dxa"/>
          </w:tcPr>
          <w:p w:rsidR="00EE3A11" w:rsidRPr="002F6A28" w:rsidP="008953C4" w14:paraId="62EEFC83" w14:textId="77777777">
            <w:pPr>
              <w:spacing w:before="120" w:after="120"/>
            </w:pPr>
            <w:r w:rsidRPr="002F6A28">
              <w:rPr>
                <w:b/>
              </w:rPr>
              <w:t>Proposed date of adoption:</w:t>
            </w:r>
            <w:r w:rsidRPr="00C379C8">
              <w:t xml:space="preserve"> </w:t>
            </w:r>
            <w:r w:rsidRPr="00C379C8">
              <w:t>1 July 2026</w:t>
            </w:r>
            <w:r w:rsidRPr="00C379C8">
              <w:t>; The draft legislative decree is expected to be adopted on July 1st 2026, though paragraph/section 10 which contains the new migration limits is not expected to enter into force until January 1st 2027</w:t>
            </w:r>
          </w:p>
          <w:p w:rsidR="00EE3A11" w:rsidRPr="002F6A28" w:rsidP="008953C4" w14:paraId="055A2747" w14:textId="77777777">
            <w:pPr>
              <w:spacing w:after="120"/>
            </w:pPr>
            <w:r w:rsidRPr="002F6A28">
              <w:rPr>
                <w:b/>
              </w:rPr>
              <w:t>Proposed date of entry into force:</w:t>
            </w:r>
            <w:r w:rsidRPr="00C379C8">
              <w:t xml:space="preserve"> </w:t>
            </w:r>
            <w:r w:rsidRPr="00C379C8">
              <w:t>1 July 2026; The draft legislative decree is expected to enter into force on July 1st 2026, though Section 10 which contains the new migration limits is not expected to enter into force until January 1st 2027</w:t>
            </w:r>
          </w:p>
        </w:tc>
      </w:tr>
      <w:tr w14:paraId="2C444DF5" w14:textId="77777777" w:rsidTr="00DB13FE">
        <w:tblPrEx>
          <w:tblW w:w="5000" w:type="pct"/>
          <w:tblLayout w:type="fixed"/>
          <w:tblLook w:val="0000"/>
        </w:tblPrEx>
        <w:tc>
          <w:tcPr>
            <w:tcW w:w="607" w:type="dxa"/>
            <w:tcBorders>
              <w:bottom w:val="double" w:sz="4" w:space="0" w:color="auto"/>
            </w:tcBorders>
          </w:tcPr>
          <w:p w:rsidR="00F85C99" w:rsidRPr="002F6A28" w:rsidP="002F6A28" w14:paraId="44F863C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818771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D9CED12" w14:textId="77777777">
            <w:pPr>
              <w:spacing w:before="120" w:after="120"/>
              <w:rPr>
                <w:bCs/>
              </w:rPr>
            </w:pPr>
            <w:r w:rsidRPr="002F6A28">
              <w:rPr>
                <w:b/>
              </w:rPr>
              <w:t>Final date for comments:</w:t>
            </w:r>
            <w:r w:rsidRPr="00C379C8" w:rsidR="00EE3A11">
              <w:t xml:space="preserve"> 13 April 2026</w:t>
            </w:r>
          </w:p>
          <w:p w:rsidR="000C3B6C" w:rsidRPr="00E3324D" w:rsidP="000C3B6C" w14:paraId="783F84D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7D8C40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E57E7D" w14:textId="77777777">
            <w:r w:rsidRPr="00CE6C29">
              <w:t>Danish Standards</w:t>
            </w:r>
          </w:p>
          <w:p w:rsidR="00CE6C29" w:rsidRPr="00CE6C29" w:rsidP="000C3B6C" w14:paraId="2C32467F" w14:textId="77777777">
            <w:r w:rsidRPr="00CE6C29">
              <w:t>Göteborg Plads 1</w:t>
            </w:r>
          </w:p>
          <w:p w:rsidR="00CE6C29" w:rsidRPr="00CE6C29" w:rsidP="000C3B6C" w14:paraId="1FC73BBF" w14:textId="77777777">
            <w:r w:rsidRPr="00CE6C29">
              <w:t>Nordhavn</w:t>
            </w:r>
          </w:p>
          <w:p w:rsidR="00CE6C29" w:rsidRPr="00CE6C29" w:rsidP="000C3B6C" w14:paraId="394BDE69" w14:textId="77777777">
            <w:r w:rsidRPr="00CE6C29">
              <w:t>DK-2150</w:t>
            </w:r>
          </w:p>
          <w:p w:rsidR="00CE6C29" w:rsidRPr="00CE6C29" w:rsidP="000C3B6C" w14:paraId="2EA03BAF" w14:textId="77777777">
            <w:r w:rsidRPr="00CE6C29">
              <w:t>Tel: + (45) 39 96 61 40</w:t>
            </w:r>
          </w:p>
          <w:p w:rsidR="00CE6C29" w:rsidRPr="00CE6C29" w:rsidP="000C3B6C" w14:paraId="541E84BC" w14:textId="77777777">
            <w:r w:rsidRPr="00CE6C29">
              <w:t>Fax: + (45) 39 96 61 01</w:t>
            </w:r>
          </w:p>
          <w:p w:rsidR="00CE6C29" w:rsidRPr="00CE6C29" w:rsidP="000C3B6C" w14:paraId="31D70A2C" w14:textId="77777777">
            <w:r w:rsidRPr="00CE6C29">
              <w:t xml:space="preserve">Email: </w:t>
            </w:r>
            <w:hyperlink r:id="rId10" w:history="1">
              <w:r w:rsidRPr="00CE6C29">
                <w:rPr>
                  <w:color w:val="0000FF"/>
                  <w:u w:val="single"/>
                </w:rPr>
                <w:t>wto@ds.dk</w:t>
              </w:r>
            </w:hyperlink>
          </w:p>
          <w:p w:rsidR="00CE6C29" w:rsidRPr="00CE6C29" w:rsidP="000C3B6C" w14:paraId="21AE06B7" w14:textId="77777777">
            <w:pPr>
              <w:spacing w:after="120"/>
            </w:pPr>
            <w:r w:rsidRPr="00CE6C29">
              <w:t xml:space="preserve">Website: </w:t>
            </w:r>
            <w:hyperlink r:id="rId11" w:tgtFrame="_blank" w:history="1">
              <w:r w:rsidRPr="00CE6C29">
                <w:rPr>
                  <w:color w:val="0000FF"/>
                  <w:u w:val="single"/>
                </w:rPr>
                <w:t>http://www.ds.dk</w:t>
              </w:r>
            </w:hyperlink>
          </w:p>
        </w:tc>
      </w:tr>
    </w:tbl>
    <w:p w:rsidR="00EE3A11" w:rsidRPr="002F6A28" w:rsidP="00887259" w14:paraId="536F81AD"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986F6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21D16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0356BA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6A7C94" w14:textId="77777777">
    <w:pPr>
      <w:pStyle w:val="Header"/>
      <w:pBdr>
        <w:bottom w:val="single" w:sz="4" w:space="1" w:color="auto"/>
      </w:pBdr>
      <w:tabs>
        <w:tab w:val="clear" w:pos="4513"/>
        <w:tab w:val="clear" w:pos="9027"/>
      </w:tabs>
      <w:jc w:val="center"/>
    </w:pPr>
    <w:r w:rsidRPr="002F6A28">
      <w:t>tbtSymbol</w:t>
    </w:r>
  </w:p>
  <w:p w:rsidR="009239F7" w:rsidRPr="002F6A28" w:rsidP="009239F7" w14:paraId="3139E84C" w14:textId="77777777">
    <w:pPr>
      <w:pStyle w:val="Header"/>
      <w:pBdr>
        <w:bottom w:val="single" w:sz="4" w:space="1" w:color="auto"/>
      </w:pBdr>
      <w:tabs>
        <w:tab w:val="clear" w:pos="4513"/>
        <w:tab w:val="clear" w:pos="9027"/>
      </w:tabs>
      <w:jc w:val="center"/>
    </w:pPr>
  </w:p>
  <w:p w:rsidR="009239F7" w:rsidRPr="002F6A28" w:rsidP="009239F7" w14:paraId="15917DB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9914BC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5B69F7" w14:textId="77777777">
    <w:pPr>
      <w:pStyle w:val="Header"/>
      <w:pBdr>
        <w:bottom w:val="single" w:sz="4" w:space="1" w:color="auto"/>
      </w:pBdr>
      <w:tabs>
        <w:tab w:val="clear" w:pos="4513"/>
        <w:tab w:val="clear" w:pos="9027"/>
      </w:tabs>
      <w:jc w:val="center"/>
    </w:pPr>
    <w:bookmarkStart w:id="0" w:name="spsSymbolHeader"/>
    <w:r w:rsidRPr="002F6A28">
      <w:t>G/TBT/N/DNK/146</w:t>
    </w:r>
    <w:bookmarkEnd w:id="0"/>
  </w:p>
  <w:p w:rsidR="009239F7" w:rsidRPr="002F6A28" w:rsidP="009239F7" w14:paraId="4DFCDF94" w14:textId="77777777">
    <w:pPr>
      <w:pStyle w:val="Header"/>
      <w:pBdr>
        <w:bottom w:val="single" w:sz="4" w:space="1" w:color="auto"/>
      </w:pBdr>
      <w:tabs>
        <w:tab w:val="clear" w:pos="4513"/>
        <w:tab w:val="clear" w:pos="9027"/>
      </w:tabs>
      <w:jc w:val="center"/>
    </w:pPr>
  </w:p>
  <w:p w:rsidR="009239F7" w:rsidRPr="002F6A28" w:rsidP="009239F7" w14:paraId="791A091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6DC3EF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53F00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1A3D5D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5022CE" w14:textId="77777777">
          <w:pPr>
            <w:jc w:val="right"/>
            <w:rPr>
              <w:b/>
              <w:color w:val="FF0000"/>
              <w:szCs w:val="16"/>
            </w:rPr>
          </w:pPr>
        </w:p>
      </w:tc>
    </w:tr>
    <w:bookmarkEnd w:id="1"/>
    <w:tr w14:paraId="519C00D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52D4FC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659E466" w14:textId="77777777">
          <w:pPr>
            <w:jc w:val="right"/>
            <w:rPr>
              <w:b/>
              <w:szCs w:val="16"/>
            </w:rPr>
          </w:pPr>
        </w:p>
      </w:tc>
    </w:tr>
    <w:tr w14:paraId="3880A10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8D9CFA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7007B23" w14:textId="77777777">
          <w:pPr>
            <w:jc w:val="right"/>
            <w:rPr>
              <w:b/>
              <w:szCs w:val="16"/>
            </w:rPr>
          </w:pPr>
          <w:bookmarkStart w:id="2" w:name="bmkSymbols"/>
          <w:r w:rsidRPr="002F6A28">
            <w:rPr>
              <w:b/>
              <w:szCs w:val="16"/>
            </w:rPr>
            <w:t>G/TBT/N/DNK/146</w:t>
          </w:r>
          <w:bookmarkEnd w:id="2"/>
        </w:p>
      </w:tc>
    </w:tr>
    <w:tr w14:paraId="0F69092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AEE6BB" w14:textId="77777777"/>
      </w:tc>
      <w:tc>
        <w:tcPr>
          <w:tcW w:w="5448" w:type="dxa"/>
          <w:gridSpan w:val="2"/>
          <w:shd w:val="clear" w:color="auto" w:fill="FFFFFF"/>
          <w:tcMar>
            <w:left w:w="108" w:type="dxa"/>
            <w:right w:w="108" w:type="dxa"/>
          </w:tcMar>
          <w:vAlign w:val="center"/>
        </w:tcPr>
        <w:p w:rsidR="00ED54E0" w:rsidRPr="009239F7" w:rsidP="00B801E9" w14:paraId="05D67592" w14:textId="77777777">
          <w:pPr>
            <w:jc w:val="right"/>
            <w:rPr>
              <w:szCs w:val="16"/>
            </w:rPr>
          </w:pPr>
          <w:bookmarkStart w:id="3" w:name="spsDateDistribution"/>
          <w:bookmarkStart w:id="4" w:name="bmkDate"/>
          <w:r w:rsidRPr="009239F7">
            <w:rPr>
              <w:szCs w:val="16"/>
            </w:rPr>
            <w:t>12 February 2026</w:t>
          </w:r>
          <w:bookmarkEnd w:id="3"/>
          <w:bookmarkEnd w:id="4"/>
        </w:p>
      </w:tc>
    </w:tr>
    <w:tr w14:paraId="07A615B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B90EFF7" w14:textId="77777777">
          <w:pPr>
            <w:jc w:val="left"/>
            <w:rPr>
              <w:b/>
            </w:rPr>
          </w:pPr>
          <w:bookmarkStart w:id="5" w:name="bmkSerial"/>
          <w:r>
            <w:rPr>
              <w:rFonts w:ascii="Verdana" w:eastAsia="Verdana" w:hAnsi="Verdana" w:cs="Verdana"/>
              <w:b w:val="0"/>
              <w:color w:val="FF0000"/>
              <w:sz w:val="18"/>
            </w:rPr>
            <w:t>(26-0997)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252A58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7C588A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99C2B9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740B0A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01838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95568977">
    <w:abstractNumId w:val="9"/>
  </w:num>
  <w:num w:numId="2" w16cid:durableId="1532037848">
    <w:abstractNumId w:val="7"/>
  </w:num>
  <w:num w:numId="3" w16cid:durableId="551699689">
    <w:abstractNumId w:val="6"/>
  </w:num>
  <w:num w:numId="4" w16cid:durableId="1472668738">
    <w:abstractNumId w:val="5"/>
  </w:num>
  <w:num w:numId="5" w16cid:durableId="2004240913">
    <w:abstractNumId w:val="4"/>
  </w:num>
  <w:num w:numId="6" w16cid:durableId="852501888">
    <w:abstractNumId w:val="12"/>
  </w:num>
  <w:num w:numId="7" w16cid:durableId="1383289603">
    <w:abstractNumId w:val="11"/>
  </w:num>
  <w:num w:numId="8" w16cid:durableId="1671786495">
    <w:abstractNumId w:val="10"/>
  </w:num>
  <w:num w:numId="9" w16cid:durableId="2044554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2876123">
    <w:abstractNumId w:val="13"/>
  </w:num>
  <w:num w:numId="11" w16cid:durableId="208077826">
    <w:abstractNumId w:val="8"/>
  </w:num>
  <w:num w:numId="12" w16cid:durableId="555514310">
    <w:abstractNumId w:val="3"/>
  </w:num>
  <w:num w:numId="13" w16cid:durableId="505636870">
    <w:abstractNumId w:val="2"/>
  </w:num>
  <w:num w:numId="14" w16cid:durableId="919100136">
    <w:abstractNumId w:val="1"/>
  </w:num>
  <w:num w:numId="15" w16cid:durableId="1362970909">
    <w:abstractNumId w:val="0"/>
  </w:num>
  <w:num w:numId="16" w16cid:durableId="4541831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7F93"/>
    <w:rsid w:val="00233408"/>
    <w:rsid w:val="002514C1"/>
    <w:rsid w:val="00267723"/>
    <w:rsid w:val="00270637"/>
    <w:rsid w:val="0027067B"/>
    <w:rsid w:val="002C23DE"/>
    <w:rsid w:val="002D21E3"/>
    <w:rsid w:val="002D649F"/>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2C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28E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45C8"/>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35583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ds.dk" TargetMode="External" /><Relationship Id="rId11" Type="http://schemas.openxmlformats.org/officeDocument/2006/relationships/hyperlink" Target="http://www.ds.dk"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rst@notifikationer.erst.dk" TargetMode="External" /><Relationship Id="rId6" Type="http://schemas.openxmlformats.org/officeDocument/2006/relationships/hyperlink" Target="https://members.wto.org/crnattachments/2026/TBT/DNK/26_00867_00_x.pdf" TargetMode="External" /><Relationship Id="rId7" Type="http://schemas.openxmlformats.org/officeDocument/2006/relationships/hyperlink" Target="mailto:294@fvst.dk" TargetMode="External" /><Relationship Id="rId8" Type="http://schemas.openxmlformats.org/officeDocument/2006/relationships/hyperlink" Target="https://foedevarestyrelsen.dk/" TargetMode="External" /><Relationship Id="rId9" Type="http://schemas.openxmlformats.org/officeDocument/2006/relationships/hyperlink" Target="https://www.retsinformation.dk/eli/lta/2025/3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2026-02-12T12:16:00Z</dcterms:created>
  <dcterms:modified xsi:type="dcterms:W3CDTF">2026-02-12T12:16:00Z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