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4FD0EF5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D7AB3C0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074E89BF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0B0D2BE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6B07125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09569488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598CD67C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72DA5939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135A73D2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01A0187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50B96166" w14:textId="77777777">
            <w:pPr>
              <w:spacing w:after="120"/>
            </w:pPr>
            <w:r w:rsidRPr="003A3E55">
              <w:t>Ministerio de Salud (MINSAL)-Instituto de Salud Publica (ISP)</w:t>
            </w:r>
          </w:p>
        </w:tc>
      </w:tr>
      <w:tr w14:paraId="4F9600E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9DD1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6A76187A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5B737F3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AD45B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3A57F58A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Productos biotecnológicos biosimilares</w:t>
            </w:r>
          </w:p>
        </w:tc>
      </w:tr>
      <w:tr w14:paraId="7FCBDE9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8E4DAF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7EB02797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Propuesta de actualización Norma Técnica N°170 sobre el registro sanitario de productos biotecnológicos biosimilares; (46 página(s), en español)</w:t>
            </w:r>
          </w:p>
          <w:p w:rsidR="00145C22" w:rsidRPr="00F70F54" w:rsidP="003A3E55" w14:paraId="46EBB62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BB8D2F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4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https://members.wto.org/crnattachments/2026/TBT/CHL/26_00875_00_s.pdf</w:t>
              </w:r>
            </w:hyperlink>
          </w:p>
          <w:p w:rsidR="00F70F54" w:rsidP="003A3E55" w14:paraId="5C81EF72" w14:textId="77777777">
            <w:pP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https://www.minsal.cl/consultas-publicas-vigentes/</w:t>
              </w:r>
            </w:hyperlink>
          </w:p>
        </w:tc>
      </w:tr>
      <w:tr w14:paraId="3FD351D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B26986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2B16995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Esta Norma Técnica se empleará en el proceso de registro sanitario de medicamentos biotecnológicos biosimilares, para precisar las disposiciones del Decreto Supremo N°3/10 del MINSAL y establecer los requisitos que se deben cumplir en la presentación del registro sanitario al que se alude el artículo 42° letra i).</w:t>
            </w:r>
          </w:p>
          <w:p w:rsidR="00AF251E" w:rsidRPr="003A3E55" w:rsidP="003A3E55" w14:paraId="0B2C3B85" w14:textId="77777777">
            <w:pPr>
              <w:spacing w:before="120" w:after="120"/>
            </w:pPr>
            <w:r w:rsidRPr="003A3E55">
              <w:t>Esta regulación, complementaria a la normativa vigente tiene por objetivo, proporcionar requisitos aceptados internacionalmente para la autorización de productos biosimilares, es decir, aquellos que se declaran similares a productos biológicos originales, los cuales fueron autorizados en base a un expediente completo de calidad, seguridad y eficacia.</w:t>
            </w:r>
          </w:p>
          <w:p w:rsidR="00AF251E" w:rsidRPr="003A3E55" w:rsidP="003A3E55" w14:paraId="3AF40E3F" w14:textId="77777777">
            <w:pPr>
              <w:spacing w:before="120" w:after="120"/>
            </w:pPr>
            <w:r w:rsidRPr="003A3E55">
              <w:t>La presente norma no se aplica a las vacunas, hemoderivados, heparinas y terapias avanzadas. Este tipo de productos tienen sus propias particularidades y existen normativas nacionales e internacionales que establecen los requisitos de registro para este tipo de medicamentos.</w:t>
            </w:r>
          </w:p>
        </w:tc>
      </w:tr>
      <w:tr w14:paraId="19DB16E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F68AF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53E80AD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1EF116F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0509B22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00316D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718F3BAC" w14:textId="77777777">
            <w:pPr>
              <w:spacing w:before="120" w:after="120"/>
            </w:pPr>
            <w:r w:rsidRPr="003A3E55">
              <w:t>D.S. 3/2010 del Ministerio de Salud - Reglamento del Sistema Nacional de Control de los Productos Farmacéuticos de Uso Humano</w:t>
            </w:r>
          </w:p>
        </w:tc>
      </w:tr>
      <w:tr w14:paraId="638E564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220AE7B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1767ECC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08F2BECC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7DEE09D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669198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A9ACA0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1F44B287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14 de marzo de 2026 (30 días a partir de la notificación)</w:t>
            </w:r>
          </w:p>
          <w:p w:rsidR="005F0B7B" w:rsidRPr="000C0749" w:rsidP="005F0B7B" w14:paraId="2981AC0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 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EB0565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</w:tc>
      </w:tr>
    </w:tbl>
    <w:p w:rsidR="00AF251E" w:rsidRPr="003A3E55" w:rsidP="00C94F02" w14:paraId="2FFD92FE" w14:textId="77777777">
      <w:pPr>
        <w:jc w:val="center"/>
      </w:pPr>
    </w:p>
    <w:sectPr w:rsidSect="00AE3C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662C52E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3F3F63C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1BE6A09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73EFA7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61BE7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78FB0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5E6B08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478AD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G/TBT/N/CHL/786</w:t>
    </w:r>
    <w:bookmarkEnd w:id="0"/>
  </w:p>
  <w:p w:rsidR="00B531D9" w:rsidRPr="003A3E55" w:rsidP="00B531D9" w14:paraId="54939C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3DEA66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646E17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B47ADF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F71C30F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4A550904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93C311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7E938C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593389D9" w14:textId="77777777">
          <w:pPr>
            <w:jc w:val="right"/>
            <w:rPr>
              <w:b/>
              <w:szCs w:val="18"/>
            </w:rPr>
          </w:pPr>
        </w:p>
      </w:tc>
    </w:tr>
    <w:tr w14:paraId="65586241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533D80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0F2955A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G/TBT/N/CHL/786</w:t>
          </w:r>
          <w:bookmarkEnd w:id="2"/>
        </w:p>
      </w:tc>
    </w:tr>
    <w:tr w14:paraId="378C9FB1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ABE392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EA4137E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12 de febrero de 2026</w:t>
          </w:r>
          <w:bookmarkEnd w:id="3"/>
          <w:bookmarkEnd w:id="4"/>
        </w:p>
      </w:tc>
    </w:tr>
    <w:tr w14:paraId="2DBDD8C3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8D717C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(26-0971)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5EB70168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416338E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7316C7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6E1B9B0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2C49F6F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1621571">
    <w:abstractNumId w:val="8"/>
  </w:num>
  <w:num w:numId="2" w16cid:durableId="1255481961">
    <w:abstractNumId w:val="3"/>
  </w:num>
  <w:num w:numId="3" w16cid:durableId="2053462467">
    <w:abstractNumId w:val="2"/>
  </w:num>
  <w:num w:numId="4" w16cid:durableId="667632530">
    <w:abstractNumId w:val="1"/>
  </w:num>
  <w:num w:numId="5" w16cid:durableId="1958367694">
    <w:abstractNumId w:val="0"/>
  </w:num>
  <w:num w:numId="6" w16cid:durableId="1614288828">
    <w:abstractNumId w:val="12"/>
  </w:num>
  <w:num w:numId="7" w16cid:durableId="657614048">
    <w:abstractNumId w:val="10"/>
  </w:num>
  <w:num w:numId="8" w16cid:durableId="1345093204">
    <w:abstractNumId w:val="13"/>
  </w:num>
  <w:num w:numId="9" w16cid:durableId="377556301">
    <w:abstractNumId w:val="9"/>
  </w:num>
  <w:num w:numId="10" w16cid:durableId="951325293">
    <w:abstractNumId w:val="7"/>
  </w:num>
  <w:num w:numId="11" w16cid:durableId="403646541">
    <w:abstractNumId w:val="6"/>
  </w:num>
  <w:num w:numId="12" w16cid:durableId="530995410">
    <w:abstractNumId w:val="5"/>
  </w:num>
  <w:num w:numId="13" w16cid:durableId="1920406569">
    <w:abstractNumId w:val="4"/>
  </w:num>
  <w:num w:numId="14" w16cid:durableId="1571424154">
    <w:abstractNumId w:val="11"/>
  </w:num>
  <w:num w:numId="15" w16cid:durableId="1509831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278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32F6D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2D67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27A417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TBT/CHL/26_00875_00_s.pdf" TargetMode="External" /><Relationship Id="rId5" Type="http://schemas.openxmlformats.org/officeDocument/2006/relationships/hyperlink" Target="https://www.minsal.cl/consultas-publicas-vigentes/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Flanagan, Una</cp:lastModifiedBy>
  <cp:revision>2</cp:revision>
  <dcterms:created xsi:type="dcterms:W3CDTF">2026-02-12T09:23:00Z</dcterms:created>
  <dcterms:modified xsi:type="dcterms:W3CDTF">2026-02-12T09:23:00Z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