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4119C83" w14:textId="77777777">
      <w:pPr>
        <w:pStyle w:val="Title"/>
      </w:pPr>
      <w:r w:rsidRPr="002F663C">
        <w:t>NOTIFICATION</w:t>
      </w:r>
    </w:p>
    <w:p w:rsidR="002F663C" w:rsidRPr="002F663C" w:rsidP="00DD3DD7" w14:paraId="32AE1359" w14:textId="77777777">
      <w:pPr>
        <w:pStyle w:val="Title3"/>
      </w:pPr>
      <w:r w:rsidRPr="002F663C">
        <w:t>Addendum</w:t>
      </w:r>
    </w:p>
    <w:p w:rsidR="002F663C" w:rsidP="001E2E4A" w14:paraId="5B291B4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February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5308DD8B" w14:textId="77777777">
      <w:pPr>
        <w:rPr>
          <w:rFonts w:eastAsia="Calibri" w:cs="Times New Roman"/>
        </w:rPr>
      </w:pPr>
    </w:p>
    <w:p w:rsidR="002F663C" w:rsidRPr="002F663C" w:rsidP="002F663C" w14:paraId="1627FA69" w14:textId="77777777">
      <w:pPr>
        <w:jc w:val="center"/>
        <w:rPr>
          <w:rFonts w:eastAsia="Calibri" w:cs="Times New Roman"/>
          <w:b/>
        </w:rPr>
      </w:pPr>
      <w:r w:rsidRPr="002F663C">
        <w:rPr>
          <w:rFonts w:eastAsia="Calibri" w:cs="Times New Roman"/>
          <w:b/>
        </w:rPr>
        <w:t>_______________</w:t>
      </w:r>
    </w:p>
    <w:p w:rsidR="002F663C" w:rsidP="002F663C" w14:paraId="16BE4A9D" w14:textId="77777777">
      <w:pPr>
        <w:rPr>
          <w:rFonts w:eastAsia="Calibri" w:cs="Times New Roman"/>
        </w:rPr>
      </w:pPr>
    </w:p>
    <w:p w:rsidR="00C14444" w:rsidRPr="002F663C" w:rsidP="002F663C" w14:paraId="1D4132EB" w14:textId="77777777">
      <w:pPr>
        <w:rPr>
          <w:rFonts w:eastAsia="Calibri" w:cs="Times New Roman"/>
        </w:rPr>
      </w:pPr>
    </w:p>
    <w:p w:rsidR="002F663C" w:rsidRPr="002F663C" w:rsidP="002F663C" w14:paraId="694B189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25-Hour Cockpit Voice Recorder (CVR) Requirement, New Aircraft Production</w:t>
      </w:r>
    </w:p>
    <w:p w:rsidR="002F663C" w:rsidRPr="002F663C" w:rsidP="002F663C" w14:paraId="00FB540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CB0D5F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4D3CEC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7F83282" w14:textId="77777777" w:rsidTr="00E9471B">
        <w:tblPrEx>
          <w:tblW w:w="9049" w:type="dxa"/>
          <w:tblLayout w:type="fixed"/>
          <w:tblLook w:val="04A0"/>
        </w:tblPrEx>
        <w:tc>
          <w:tcPr>
            <w:tcW w:w="851" w:type="dxa"/>
          </w:tcPr>
          <w:p w:rsidR="002F663C" w:rsidRPr="00711F9C" w:rsidP="00C14444" w14:paraId="770DBEC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55C7B6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E93975E" w14:textId="77777777" w:rsidTr="00E9471B">
        <w:tblPrEx>
          <w:tblW w:w="9049" w:type="dxa"/>
          <w:tblLayout w:type="fixed"/>
          <w:tblLook w:val="04A0"/>
        </w:tblPrEx>
        <w:tc>
          <w:tcPr>
            <w:tcW w:w="851" w:type="dxa"/>
          </w:tcPr>
          <w:p w:rsidR="002F663C" w:rsidRPr="00711F9C" w:rsidP="00C14444" w14:paraId="77B66F4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CD6FC2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C313EB0" w14:textId="77777777" w:rsidTr="00E9471B">
        <w:tblPrEx>
          <w:tblW w:w="9049" w:type="dxa"/>
          <w:tblLayout w:type="fixed"/>
          <w:tblLook w:val="04A0"/>
        </w:tblPrEx>
        <w:tc>
          <w:tcPr>
            <w:tcW w:w="851" w:type="dxa"/>
          </w:tcPr>
          <w:p w:rsidR="002F663C" w:rsidRPr="00711F9C" w:rsidP="00C14444" w14:paraId="0F22C40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3C6C99C"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 February 2026</w:t>
            </w:r>
          </w:p>
        </w:tc>
      </w:tr>
      <w:tr w14:paraId="55735EED" w14:textId="77777777" w:rsidTr="00E9471B">
        <w:tblPrEx>
          <w:tblW w:w="9049" w:type="dxa"/>
          <w:tblLayout w:type="fixed"/>
          <w:tblLook w:val="04A0"/>
        </w:tblPrEx>
        <w:tc>
          <w:tcPr>
            <w:tcW w:w="851" w:type="dxa"/>
          </w:tcPr>
          <w:p w:rsidR="002F663C" w:rsidRPr="00711F9C" w:rsidP="00C14444" w14:paraId="483EB7A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91994E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 February 2026</w:t>
            </w:r>
          </w:p>
        </w:tc>
      </w:tr>
      <w:tr w14:paraId="7F6761FF" w14:textId="77777777" w:rsidTr="00E9471B">
        <w:tblPrEx>
          <w:tblW w:w="9049" w:type="dxa"/>
          <w:tblLayout w:type="fixed"/>
          <w:tblLook w:val="04A0"/>
        </w:tblPrEx>
        <w:tc>
          <w:tcPr>
            <w:tcW w:w="851" w:type="dxa"/>
          </w:tcPr>
          <w:p w:rsidR="002F663C" w:rsidRPr="00711F9C" w:rsidP="00C14444" w14:paraId="460D9C9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33D155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9676A57"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https://members.wto.org/crnattachments/2026/TBT/USA/final_measure/26_00682_00_e.pdf</w:t>
              </w:r>
            </w:hyperlink>
          </w:p>
        </w:tc>
      </w:tr>
      <w:tr w14:paraId="23E84BCC" w14:textId="77777777" w:rsidTr="00E9471B">
        <w:tblPrEx>
          <w:tblW w:w="9049" w:type="dxa"/>
          <w:tblLayout w:type="fixed"/>
          <w:tblLook w:val="04A0"/>
        </w:tblPrEx>
        <w:tc>
          <w:tcPr>
            <w:tcW w:w="851" w:type="dxa"/>
          </w:tcPr>
          <w:p w:rsidR="002F663C" w:rsidRPr="00711F9C" w:rsidP="00C14444" w14:paraId="3C275E0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D4F566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7B2DD7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0E6C6A0" w14:textId="77777777" w:rsidTr="00E9471B">
        <w:tblPrEx>
          <w:tblW w:w="9049" w:type="dxa"/>
          <w:tblLayout w:type="fixed"/>
          <w:tblLook w:val="04A0"/>
        </w:tblPrEx>
        <w:tc>
          <w:tcPr>
            <w:tcW w:w="851" w:type="dxa"/>
          </w:tcPr>
          <w:p w:rsidR="002F663C" w:rsidRPr="00711F9C" w:rsidP="00C14444" w14:paraId="21B091E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DDAE92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22F053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02581E3" w14:textId="77777777" w:rsidTr="00E9471B">
        <w:tblPrEx>
          <w:tblW w:w="9049" w:type="dxa"/>
          <w:tblLayout w:type="fixed"/>
          <w:tblLook w:val="04A0"/>
        </w:tblPrEx>
        <w:tc>
          <w:tcPr>
            <w:tcW w:w="851" w:type="dxa"/>
          </w:tcPr>
          <w:p w:rsidR="002F663C" w:rsidRPr="00711F9C" w:rsidP="00C14444" w14:paraId="305EA6D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A33613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9339A9C" w14:textId="77777777" w:rsidTr="00E9471B">
        <w:tblPrEx>
          <w:tblW w:w="9049" w:type="dxa"/>
          <w:tblLayout w:type="fixed"/>
          <w:tblLook w:val="04A0"/>
        </w:tblPrEx>
        <w:tc>
          <w:tcPr>
            <w:tcW w:w="851" w:type="dxa"/>
            <w:tcBorders>
              <w:bottom w:val="double" w:sz="4" w:space="0" w:color="auto"/>
            </w:tcBorders>
          </w:tcPr>
          <w:p w:rsidR="002F663C" w:rsidRPr="00711F9C" w:rsidP="00C14444" w14:paraId="19F4D03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FE46CE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BBF3CB2" w14:textId="77777777">
      <w:pPr>
        <w:jc w:val="left"/>
        <w:rPr>
          <w:rFonts w:eastAsia="Calibri" w:cs="Times New Roman"/>
          <w:highlight w:val="yellow"/>
        </w:rPr>
      </w:pPr>
    </w:p>
    <w:p w:rsidR="003971FF" w:rsidRPr="007F6EA2" w:rsidP="00B16ACF" w14:paraId="6288535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This final rule increases the recording time of cockpit voice recorders (CVRs) from the currently mandated 2 hours to 25 hours for all affected future manufactured aircraft. This action provides accident investigators, aircraft operators, and civil aviation authorities with substantially more CVR data to help determine the probable causes of incidents and accidents and prevent future incidents and accidents. The action will also align the Federal Aviation Administration's (FAA) regulations more closely with</w:t>
      </w:r>
      <w:r w:rsidRPr="002F663C">
        <w:rPr>
          <w:rFonts w:eastAsia="Calibri" w:cs="Times New Roman"/>
          <w:szCs w:val="18"/>
        </w:rPr>
        <w:t xml:space="preserve"> existing international requirements.</w:t>
      </w:r>
    </w:p>
    <w:p w:rsidR="00C84D1E" w:rsidRPr="002F663C" w:rsidP="00B16ACF" w14:paraId="22F18F1D" w14:textId="77777777">
      <w:pPr>
        <w:spacing w:before="120" w:after="120"/>
        <w:rPr>
          <w:rFonts w:eastAsia="Calibri" w:cs="Times New Roman"/>
          <w:szCs w:val="18"/>
        </w:rPr>
      </w:pPr>
      <w:r w:rsidRPr="002F663C">
        <w:rPr>
          <w:rFonts w:eastAsia="Calibri" w:cs="Times New Roman"/>
          <w:szCs w:val="18"/>
        </w:rPr>
        <w:t xml:space="preserve">91 Federal Register (FR) 4447, 2 February 2026; </w:t>
      </w:r>
      <w:hyperlink r:id="rId8" w:history="1">
        <w:r w:rsidRPr="002F663C">
          <w:rPr>
            <w:rFonts w:eastAsia="Calibri" w:cs="Times New Roman"/>
            <w:color w:val="0000FF"/>
            <w:szCs w:val="18"/>
            <w:u w:val="single"/>
          </w:rPr>
          <w:t>Title 14</w:t>
        </w:r>
      </w:hyperlink>
      <w:r w:rsidRPr="002F663C">
        <w:rPr>
          <w:rFonts w:eastAsia="Calibri" w:cs="Times New Roman"/>
          <w:szCs w:val="18"/>
        </w:rPr>
        <w:t xml:space="preserve"> Code of Federal Regulations (CFR) Parts </w:t>
      </w:r>
      <w:hyperlink r:id="rId9" w:history="1">
        <w:r w:rsidRPr="002F663C">
          <w:rPr>
            <w:rFonts w:eastAsia="Calibri" w:cs="Times New Roman"/>
            <w:color w:val="0000FF"/>
            <w:szCs w:val="18"/>
            <w:u w:val="single"/>
          </w:rPr>
          <w:t>91</w:t>
        </w:r>
      </w:hyperlink>
      <w:r w:rsidRPr="002F663C">
        <w:rPr>
          <w:rFonts w:eastAsia="Calibri" w:cs="Times New Roman"/>
          <w:szCs w:val="18"/>
        </w:rPr>
        <w:t xml:space="preserve">, </w:t>
      </w:r>
      <w:hyperlink r:id="rId10" w:history="1">
        <w:r w:rsidRPr="002F663C">
          <w:rPr>
            <w:rFonts w:eastAsia="Calibri" w:cs="Times New Roman"/>
            <w:color w:val="0000FF"/>
            <w:szCs w:val="18"/>
            <w:u w:val="single"/>
          </w:rPr>
          <w:t>121</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125</w:t>
        </w:r>
      </w:hyperlink>
      <w:r w:rsidRPr="002F663C">
        <w:rPr>
          <w:rFonts w:eastAsia="Calibri" w:cs="Times New Roman"/>
          <w:szCs w:val="18"/>
        </w:rPr>
        <w:t xml:space="preserve">, and </w:t>
      </w:r>
      <w:hyperlink r:id="rId12" w:history="1">
        <w:r w:rsidRPr="002F663C">
          <w:rPr>
            <w:rFonts w:eastAsia="Calibri" w:cs="Times New Roman"/>
            <w:color w:val="0000FF"/>
            <w:szCs w:val="18"/>
            <w:u w:val="single"/>
          </w:rPr>
          <w:t>135</w:t>
        </w:r>
      </w:hyperlink>
      <w:r w:rsidRPr="002F663C">
        <w:rPr>
          <w:rFonts w:eastAsia="Calibri" w:cs="Times New Roman"/>
          <w:szCs w:val="18"/>
        </w:rPr>
        <w:t>:</w:t>
      </w:r>
    </w:p>
    <w:p w:rsidR="00C84D1E" w:rsidRPr="002F663C" w:rsidP="00B16ACF" w14:paraId="280C1DF5"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https://www.govinfo.gov/content/pkg/FR-2026-02-02/html/2026-02110.htm</w:t>
        </w:r>
      </w:hyperlink>
    </w:p>
    <w:p w:rsidR="00C84D1E" w:rsidRPr="002F663C" w:rsidP="00B16ACF" w14:paraId="73E61259"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https://www.govinfo.gov/content/pkg/FR-2026-02-02/pdf/2026-02110.pdf</w:t>
        </w:r>
      </w:hyperlink>
    </w:p>
    <w:p w:rsidR="00C84D1E" w:rsidRPr="002F663C" w:rsidP="00B16ACF" w14:paraId="5C5AD212" w14:textId="77777777">
      <w:pPr>
        <w:spacing w:before="120" w:after="120"/>
        <w:rPr>
          <w:rFonts w:eastAsia="Calibri" w:cs="Times New Roman"/>
          <w:szCs w:val="18"/>
        </w:rPr>
      </w:pPr>
      <w:r w:rsidRPr="002F663C">
        <w:rPr>
          <w:rFonts w:eastAsia="Calibri" w:cs="Times New Roman"/>
          <w:szCs w:val="18"/>
        </w:rPr>
        <w:t xml:space="preserve">FAA is establishing three compliance timeframes for certain aircraft and operators in response to the </w:t>
      </w:r>
      <w:hyperlink r:id="rId15" w:history="1">
        <w:r w:rsidRPr="002F663C">
          <w:rPr>
            <w:rFonts w:eastAsia="Calibri" w:cs="Times New Roman"/>
            <w:color w:val="0000FF"/>
            <w:szCs w:val="18"/>
            <w:u w:val="single"/>
          </w:rPr>
          <w:t>2024 FAA Reauthorization Act</w:t>
        </w:r>
      </w:hyperlink>
      <w:r w:rsidRPr="002F663C">
        <w:rPr>
          <w:rFonts w:eastAsia="Calibri" w:cs="Times New Roman"/>
          <w:szCs w:val="18"/>
        </w:rPr>
        <w:t xml:space="preserve"> ("Act") and </w:t>
      </w:r>
      <w:hyperlink r:id="rId16" w:history="1">
        <w:r w:rsidRPr="002F663C">
          <w:rPr>
            <w:rFonts w:eastAsia="Calibri" w:cs="Times New Roman"/>
            <w:color w:val="0000FF"/>
            <w:szCs w:val="18"/>
            <w:u w:val="single"/>
          </w:rPr>
          <w:t>comments</w:t>
        </w:r>
      </w:hyperlink>
      <w:r w:rsidRPr="002F663C">
        <w:rPr>
          <w:rFonts w:eastAsia="Calibri" w:cs="Times New Roman"/>
          <w:szCs w:val="18"/>
        </w:rPr>
        <w:t xml:space="preserve"> received on the associated </w:t>
      </w:r>
      <w:hyperlink r:id="rId17" w:history="1">
        <w:r w:rsidRPr="002F663C">
          <w:rPr>
            <w:rFonts w:eastAsia="Calibri" w:cs="Times New Roman"/>
            <w:color w:val="0000FF"/>
            <w:szCs w:val="18"/>
            <w:u w:val="single"/>
          </w:rPr>
          <w:t>notice of proposed rulemaking</w:t>
        </w:r>
      </w:hyperlink>
      <w:r w:rsidRPr="002F663C">
        <w:rPr>
          <w:rFonts w:eastAsia="Calibri" w:cs="Times New Roman"/>
          <w:szCs w:val="18"/>
        </w:rPr>
        <w:t xml:space="preserve"> (</w:t>
      </w:r>
      <w:hyperlink r:id="rId18" w:history="1">
        <w:r w:rsidRPr="002F663C">
          <w:rPr>
            <w:rFonts w:eastAsia="Calibri" w:cs="Times New Roman"/>
            <w:color w:val="0000FF"/>
            <w:szCs w:val="18"/>
            <w:u w:val="single"/>
          </w:rPr>
          <w:t>G/TBT/N/USA/2075</w:t>
        </w:r>
      </w:hyperlink>
      <w:r w:rsidRPr="002F663C">
        <w:rPr>
          <w:rFonts w:eastAsia="Calibri" w:cs="Times New Roman"/>
          <w:szCs w:val="18"/>
        </w:rPr>
        <w:t>) with this final rule.</w:t>
      </w:r>
    </w:p>
    <w:p w:rsidR="00C84D1E" w:rsidRPr="002F663C" w:rsidP="00B16ACF" w14:paraId="2339F28E" w14:textId="77777777">
      <w:pPr>
        <w:spacing w:before="120" w:after="120"/>
        <w:rPr>
          <w:rFonts w:eastAsia="Calibri" w:cs="Times New Roman"/>
          <w:szCs w:val="18"/>
        </w:rPr>
      </w:pPr>
      <w:r w:rsidRPr="002F663C">
        <w:rPr>
          <w:rFonts w:eastAsia="Calibri" w:cs="Times New Roman"/>
          <w:szCs w:val="18"/>
        </w:rPr>
        <w:t xml:space="preserve">First, per the Act, covered aircraft manufactured one year or more after the enactment of the Act, or 16 May 2025, and operating under </w:t>
      </w:r>
      <w:hyperlink r:id="rId10" w:history="1">
        <w:r w:rsidRPr="002F663C">
          <w:rPr>
            <w:rFonts w:eastAsia="Calibri" w:cs="Times New Roman"/>
            <w:color w:val="0000FF"/>
            <w:szCs w:val="18"/>
            <w:u w:val="single"/>
          </w:rPr>
          <w:t>14 CFR part 121</w:t>
        </w:r>
      </w:hyperlink>
      <w:r w:rsidRPr="002F663C">
        <w:rPr>
          <w:rFonts w:eastAsia="Calibri" w:cs="Times New Roman"/>
          <w:szCs w:val="18"/>
        </w:rPr>
        <w:t xml:space="preserve"> or transport category aircraft designed for operations by an air carrier or foreign air carrier type-certificated with 30 or more passenger seats must be equipped with a CVR capable of recording 25 hours of information.</w:t>
      </w:r>
    </w:p>
    <w:p w:rsidR="00C84D1E" w:rsidRPr="002F663C" w:rsidP="00B16ACF" w14:paraId="011AE84A" w14:textId="77777777">
      <w:pPr>
        <w:spacing w:before="120" w:after="120"/>
        <w:rPr>
          <w:rFonts w:eastAsia="Calibri" w:cs="Times New Roman"/>
          <w:szCs w:val="18"/>
        </w:rPr>
      </w:pPr>
      <w:r w:rsidRPr="002F663C">
        <w:rPr>
          <w:rFonts w:eastAsia="Calibri" w:cs="Times New Roman"/>
          <w:szCs w:val="18"/>
        </w:rPr>
        <w:t xml:space="preserve">Second, aircraft required to be equipped with a CVR, operating under parts </w:t>
      </w:r>
      <w:hyperlink r:id="rId9" w:history="1">
        <w:r w:rsidRPr="002F663C">
          <w:rPr>
            <w:rFonts w:eastAsia="Calibri" w:cs="Times New Roman"/>
            <w:color w:val="0000FF"/>
            <w:szCs w:val="18"/>
            <w:u w:val="single"/>
          </w:rPr>
          <w:t>91</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125</w:t>
        </w:r>
      </w:hyperlink>
      <w:r w:rsidRPr="002F663C">
        <w:rPr>
          <w:rFonts w:eastAsia="Calibri" w:cs="Times New Roman"/>
          <w:szCs w:val="18"/>
        </w:rPr>
        <w:t xml:space="preserve">, or </w:t>
      </w:r>
      <w:hyperlink r:id="rId12" w:history="1">
        <w:r w:rsidRPr="002F663C">
          <w:rPr>
            <w:rFonts w:eastAsia="Calibri" w:cs="Times New Roman"/>
            <w:color w:val="0000FF"/>
            <w:szCs w:val="18"/>
            <w:u w:val="single"/>
          </w:rPr>
          <w:t>135</w:t>
        </w:r>
      </w:hyperlink>
      <w:r w:rsidRPr="002F663C">
        <w:rPr>
          <w:rFonts w:eastAsia="Calibri" w:cs="Times New Roman"/>
          <w:szCs w:val="18"/>
        </w:rPr>
        <w:t xml:space="preserve"> with a Maximum Certificated Takeoff Weight (MCTOW) of 59,525lbs./27,000 kg with 29 or fewer passenger seats are required to be equipped with a 25-hour CVR one year after the effective date of the final rule.</w:t>
      </w:r>
    </w:p>
    <w:p w:rsidR="00C84D1E" w:rsidRPr="002F663C" w:rsidP="00B16ACF" w14:paraId="004E02ED" w14:textId="77777777">
      <w:pPr>
        <w:spacing w:before="120" w:after="120"/>
        <w:rPr>
          <w:rFonts w:eastAsia="Calibri" w:cs="Times New Roman"/>
          <w:szCs w:val="18"/>
        </w:rPr>
      </w:pPr>
      <w:r w:rsidRPr="002F663C">
        <w:rPr>
          <w:rFonts w:eastAsia="Calibri" w:cs="Times New Roman"/>
          <w:szCs w:val="18"/>
        </w:rPr>
        <w:t xml:space="preserve">Third, aircraft manufactured on or after three years from the effective date of the final rule, required to be equipped with a CVR, operating under parts </w:t>
      </w:r>
      <w:hyperlink r:id="rId9" w:history="1">
        <w:r w:rsidRPr="002F663C">
          <w:rPr>
            <w:rFonts w:eastAsia="Calibri" w:cs="Times New Roman"/>
            <w:color w:val="0000FF"/>
            <w:szCs w:val="18"/>
            <w:u w:val="single"/>
          </w:rPr>
          <w:t>91</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125</w:t>
        </w:r>
      </w:hyperlink>
      <w:r w:rsidRPr="002F663C">
        <w:rPr>
          <w:rFonts w:eastAsia="Calibri" w:cs="Times New Roman"/>
          <w:szCs w:val="18"/>
        </w:rPr>
        <w:t xml:space="preserve">, or </w:t>
      </w:r>
      <w:hyperlink r:id="rId12" w:history="1">
        <w:r w:rsidRPr="002F663C">
          <w:rPr>
            <w:rFonts w:eastAsia="Calibri" w:cs="Times New Roman"/>
            <w:color w:val="0000FF"/>
            <w:szCs w:val="18"/>
            <w:u w:val="single"/>
          </w:rPr>
          <w:t>135</w:t>
        </w:r>
      </w:hyperlink>
      <w:r w:rsidRPr="002F663C">
        <w:rPr>
          <w:rFonts w:eastAsia="Calibri" w:cs="Times New Roman"/>
          <w:szCs w:val="18"/>
        </w:rPr>
        <w:t>, and with a 59,524 lbs./26,999 kg or less MCTOW must be equipped with a CVR capable of recording for 25 hours.</w:t>
      </w:r>
    </w:p>
    <w:p w:rsidR="00C84D1E" w:rsidRPr="002F663C" w:rsidP="00B16ACF" w14:paraId="4BD2FFBC"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8" w:history="1">
        <w:r w:rsidRPr="002F663C">
          <w:rPr>
            <w:rFonts w:eastAsia="Calibri" w:cs="Times New Roman"/>
            <w:color w:val="0000FF"/>
            <w:szCs w:val="18"/>
            <w:u w:val="single"/>
          </w:rPr>
          <w:t>G/TBT/N/USA/2075</w:t>
        </w:r>
      </w:hyperlink>
      <w:r w:rsidRPr="002F663C">
        <w:rPr>
          <w:rFonts w:eastAsia="Calibri" w:cs="Times New Roman"/>
          <w:szCs w:val="18"/>
        </w:rPr>
        <w:t xml:space="preserve"> is identified by Docket Number FAA-2023-2270. The Docket Folder is available on Regulations.gov at </w:t>
      </w:r>
      <w:hyperlink r:id="rId19" w:history="1">
        <w:r w:rsidRPr="002F663C">
          <w:rPr>
            <w:rFonts w:eastAsia="Calibri" w:cs="Times New Roman"/>
            <w:color w:val="0000FF"/>
            <w:szCs w:val="18"/>
            <w:u w:val="single"/>
          </w:rPr>
          <w:t>https://www.regulations.gov/docket/FAA-2023-2270/document</w:t>
        </w:r>
      </w:hyperlink>
      <w:r w:rsidRPr="002F663C">
        <w:rPr>
          <w:rFonts w:eastAsia="Calibri" w:cs="Times New Roman"/>
          <w:szCs w:val="18"/>
        </w:rPr>
        <w:t xml:space="preserve"> and provides access to primary documents as well as comments received.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78A9B921" w14:textId="77777777">
      <w:pPr>
        <w:jc w:val="center"/>
        <w:rPr>
          <w:b/>
        </w:rPr>
      </w:pPr>
      <w:r w:rsidRPr="003971FF">
        <w:rPr>
          <w:b/>
        </w:rPr>
        <w:t>__________</w:t>
      </w:r>
    </w:p>
    <w:p w:rsidR="004D4D19" w:rsidP="007F38C2" w14:paraId="223015A9" w14:textId="77777777">
      <w:pPr>
        <w:jc w:val="center"/>
        <w:rPr>
          <w:b/>
        </w:rPr>
      </w:pPr>
    </w:p>
    <w:p w:rsidR="00A1565D" w:rsidP="003971FF" w14:paraId="29BBB2D0"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9F1080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F2791C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450788E" w14:textId="77777777">
      <w:r>
        <w:separator/>
      </w:r>
    </w:p>
  </w:footnote>
  <w:footnote w:type="continuationSeparator" w:id="1">
    <w:p w:rsidR="004D3A6A" w:rsidP="00ED54E0" w14:paraId="52424ADE" w14:textId="77777777">
      <w:r>
        <w:continuationSeparator/>
      </w:r>
    </w:p>
  </w:footnote>
  <w:footnote w:id="2">
    <w:p w:rsidR="007F6EA2" w14:paraId="72CAA7D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F11540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6D28B88" w14:textId="77777777">
    <w:pPr>
      <w:pStyle w:val="Header"/>
      <w:pBdr>
        <w:bottom w:val="single" w:sz="4" w:space="1" w:color="auto"/>
      </w:pBdr>
      <w:tabs>
        <w:tab w:val="clear" w:pos="4513"/>
        <w:tab w:val="clear" w:pos="9027"/>
      </w:tabs>
      <w:jc w:val="center"/>
    </w:pPr>
  </w:p>
  <w:p w:rsidR="00DD3DD7" w:rsidRPr="00DD3DD7" w:rsidP="00DD3DD7" w14:paraId="263FB03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457A5E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936475" w:rsidP="00DD3DD7" w14:paraId="1AE81BBD" w14:textId="77777777">
    <w:pPr>
      <w:pStyle w:val="Header"/>
      <w:pBdr>
        <w:bottom w:val="single" w:sz="4" w:space="1" w:color="auto"/>
      </w:pBdr>
      <w:tabs>
        <w:tab w:val="clear" w:pos="4513"/>
        <w:tab w:val="clear" w:pos="9027"/>
      </w:tabs>
      <w:jc w:val="center"/>
      <w:rPr>
        <w:lang w:val="es-ES_tradnl"/>
      </w:rPr>
    </w:pPr>
    <w:bookmarkStart w:id="3" w:name="spsSymbolHeader"/>
    <w:r w:rsidRPr="00936475">
      <w:rPr>
        <w:lang w:val="es-ES_tradnl"/>
      </w:rPr>
      <w:t>G/TBT/N/USA/2075/Add.1</w:t>
    </w:r>
    <w:bookmarkEnd w:id="3"/>
  </w:p>
  <w:p w:rsidR="00DD3DD7" w:rsidRPr="00936475" w:rsidP="00DD3DD7" w14:paraId="557CD98E" w14:textId="77777777">
    <w:pPr>
      <w:pStyle w:val="Header"/>
      <w:pBdr>
        <w:bottom w:val="single" w:sz="4" w:space="1" w:color="auto"/>
      </w:pBdr>
      <w:tabs>
        <w:tab w:val="clear" w:pos="4513"/>
        <w:tab w:val="clear" w:pos="9027"/>
      </w:tabs>
      <w:jc w:val="center"/>
      <w:rPr>
        <w:lang w:val="es-ES_tradnl"/>
      </w:rPr>
    </w:pPr>
  </w:p>
  <w:p w:rsidR="00DD3DD7" w:rsidRPr="00DD3DD7" w:rsidP="00DD3DD7" w14:paraId="31B309C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C8A23E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0ADC9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8F64D9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C0B2EB0" w14:textId="77777777">
          <w:pPr>
            <w:jc w:val="right"/>
            <w:rPr>
              <w:b/>
              <w:color w:val="FF0000"/>
              <w:szCs w:val="16"/>
            </w:rPr>
          </w:pPr>
          <w:r>
            <w:rPr>
              <w:b/>
              <w:color w:val="FF0000"/>
              <w:szCs w:val="16"/>
            </w:rPr>
            <w:t xml:space="preserve"> </w:t>
          </w:r>
        </w:p>
      </w:tc>
    </w:tr>
    <w:tr w14:paraId="4E71EE5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FBD981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77FD744" w14:textId="77777777">
          <w:pPr>
            <w:jc w:val="right"/>
            <w:rPr>
              <w:b/>
              <w:szCs w:val="16"/>
            </w:rPr>
          </w:pPr>
        </w:p>
      </w:tc>
    </w:tr>
    <w:tr w14:paraId="0273DB4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3D0967C" w14:textId="77777777">
          <w:pPr>
            <w:jc w:val="left"/>
            <w:rPr>
              <w:noProof/>
              <w:lang w:eastAsia="en-GB"/>
            </w:rPr>
          </w:pPr>
        </w:p>
      </w:tc>
      <w:tc>
        <w:tcPr>
          <w:tcW w:w="5448" w:type="dxa"/>
          <w:gridSpan w:val="2"/>
          <w:shd w:val="clear" w:color="auto" w:fill="FFFFFF"/>
          <w:tcMar>
            <w:left w:w="108" w:type="dxa"/>
            <w:right w:w="108" w:type="dxa"/>
          </w:tcMar>
        </w:tcPr>
        <w:p w:rsidR="00DD3DD7" w:rsidRPr="00936475" w:rsidP="00DD3DD7" w14:paraId="7429CC97" w14:textId="77777777">
          <w:pPr>
            <w:jc w:val="right"/>
            <w:rPr>
              <w:rFonts w:eastAsia="Calibri" w:cs="Times New Roman"/>
              <w:b/>
              <w:szCs w:val="16"/>
              <w:lang w:val="es-ES_tradnl"/>
            </w:rPr>
          </w:pPr>
          <w:bookmarkStart w:id="4" w:name="bmkSymbols"/>
          <w:r w:rsidRPr="00936475">
            <w:rPr>
              <w:rFonts w:eastAsia="Calibri" w:cs="Times New Roman"/>
              <w:b/>
              <w:szCs w:val="16"/>
              <w:lang w:val="es-ES_tradnl"/>
            </w:rPr>
            <w:t>G/TBT/N/USA/2075/Add.1</w:t>
          </w:r>
          <w:bookmarkEnd w:id="4"/>
        </w:p>
        <w:p w:rsidR="00C14444" w:rsidRPr="00936475" w:rsidP="00C14444" w14:paraId="029AA9E1" w14:textId="77777777">
          <w:pPr>
            <w:jc w:val="center"/>
            <w:rPr>
              <w:szCs w:val="16"/>
              <w:lang w:val="es-ES_tradnl"/>
            </w:rPr>
          </w:pPr>
        </w:p>
      </w:tc>
    </w:tr>
    <w:tr w14:paraId="7A00ECF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36475" w:rsidP="00425DC5" w14:paraId="31B10C84"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7039F1DF" w14:textId="77777777">
          <w:pPr>
            <w:jc w:val="right"/>
            <w:rPr>
              <w:szCs w:val="16"/>
            </w:rPr>
          </w:pPr>
          <w:bookmarkStart w:id="5" w:name="bmkDate"/>
          <w:r w:rsidRPr="00182B84">
            <w:rPr>
              <w:szCs w:val="16"/>
            </w:rPr>
            <w:t>3 February 2026</w:t>
          </w:r>
          <w:bookmarkEnd w:id="5"/>
        </w:p>
      </w:tc>
    </w:tr>
    <w:tr w14:paraId="2304580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08FFB21" w14:textId="77777777">
          <w:pPr>
            <w:jc w:val="left"/>
            <w:rPr>
              <w:b/>
            </w:rPr>
          </w:pPr>
          <w:bookmarkStart w:id="6" w:name="bmkSerial"/>
          <w:r>
            <w:rPr>
              <w:rFonts w:ascii="Verdana" w:eastAsia="Verdana" w:hAnsi="Verdana" w:cs="Verdana"/>
              <w:b w:val="0"/>
              <w:color w:val="FF0000"/>
              <w:sz w:val="18"/>
            </w:rPr>
            <w:t>(26-0739)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EA1DF6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90978D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8B19D5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0EE178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B6EF3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0015846">
    <w:abstractNumId w:val="9"/>
  </w:num>
  <w:num w:numId="2" w16cid:durableId="1222905128">
    <w:abstractNumId w:val="7"/>
  </w:num>
  <w:num w:numId="3" w16cid:durableId="1568420082">
    <w:abstractNumId w:val="6"/>
  </w:num>
  <w:num w:numId="4" w16cid:durableId="1001588873">
    <w:abstractNumId w:val="5"/>
  </w:num>
  <w:num w:numId="5" w16cid:durableId="896473034">
    <w:abstractNumId w:val="4"/>
  </w:num>
  <w:num w:numId="6" w16cid:durableId="858275883">
    <w:abstractNumId w:val="12"/>
  </w:num>
  <w:num w:numId="7" w16cid:durableId="422916294">
    <w:abstractNumId w:val="11"/>
  </w:num>
  <w:num w:numId="8" w16cid:durableId="171340142">
    <w:abstractNumId w:val="10"/>
  </w:num>
  <w:num w:numId="9" w16cid:durableId="617029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5228175">
    <w:abstractNumId w:val="13"/>
  </w:num>
  <w:num w:numId="11" w16cid:durableId="919754154">
    <w:abstractNumId w:val="8"/>
  </w:num>
  <w:num w:numId="12" w16cid:durableId="998582477">
    <w:abstractNumId w:val="3"/>
  </w:num>
  <w:num w:numId="13" w16cid:durableId="22558356">
    <w:abstractNumId w:val="2"/>
  </w:num>
  <w:num w:numId="14" w16cid:durableId="336428390">
    <w:abstractNumId w:val="1"/>
  </w:num>
  <w:num w:numId="15" w16cid:durableId="1899319862">
    <w:abstractNumId w:val="0"/>
  </w:num>
  <w:num w:numId="16" w16cid:durableId="190109010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1DEE"/>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E77D4"/>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43FF"/>
    <w:rsid w:val="0071546B"/>
    <w:rsid w:val="00716820"/>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3647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84D1E"/>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927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4/chapter-I/subchapter-G/part-121" TargetMode="External" /><Relationship Id="rId11" Type="http://schemas.openxmlformats.org/officeDocument/2006/relationships/hyperlink" Target="https://www.ecfr.gov/current/title-14/chapter-I/subchapter-G/part-125" TargetMode="External" /><Relationship Id="rId12" Type="http://schemas.openxmlformats.org/officeDocument/2006/relationships/hyperlink" Target="https://www.ecfr.gov/current/title-14/chapter-I/subchapter-G/part-135" TargetMode="External" /><Relationship Id="rId13" Type="http://schemas.openxmlformats.org/officeDocument/2006/relationships/hyperlink" Target="https://www.govinfo.gov/content/pkg/FR-2026-02-02/html/2026-02110.htm" TargetMode="External" /><Relationship Id="rId14" Type="http://schemas.openxmlformats.org/officeDocument/2006/relationships/hyperlink" Target="https://www.govinfo.gov/content/pkg/FR-2026-02-02/pdf/2026-02110.pdf" TargetMode="External" /><Relationship Id="rId15" Type="http://schemas.openxmlformats.org/officeDocument/2006/relationships/hyperlink" Target="https://www.govinfo.gov/content/pkg/PLAW-118publ63/pdf/PLAW-118publ63.pdf" TargetMode="External" /><Relationship Id="rId16" Type="http://schemas.openxmlformats.org/officeDocument/2006/relationships/hyperlink" Target="https://www.regulations.gov/docket/FAA-2023-2270/comments" TargetMode="External" /><Relationship Id="rId17" Type="http://schemas.openxmlformats.org/officeDocument/2006/relationships/hyperlink" Target="https://www.govinfo.gov/content/pkg/FR-2023-12-04/pdf/2023-26144.pdf" TargetMode="External" /><Relationship Id="rId18" Type="http://schemas.openxmlformats.org/officeDocument/2006/relationships/hyperlink" Target="https://eping.wto.org/en/Search?domainIds=1&amp;documentSymbol=USA%2F2075" TargetMode="External" /><Relationship Id="rId19" Type="http://schemas.openxmlformats.org/officeDocument/2006/relationships/hyperlink" Target="https://www.regulations.gov/docket/FAA-2023-2270/document" TargetMode="External" /><Relationship Id="rId2" Type="http://schemas.openxmlformats.org/officeDocument/2006/relationships/settings" Target="settings.xml" /><Relationship Id="rId20" Type="http://schemas.openxmlformats.org/officeDocument/2006/relationships/hyperlink" Target="http://www.regulations.gov/"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0682_00_e.pdf" TargetMode="External" /><Relationship Id="rId8" Type="http://schemas.openxmlformats.org/officeDocument/2006/relationships/hyperlink" Target="https://www.ecfr.gov/current/title-14" TargetMode="External" /><Relationship Id="rId9" Type="http://schemas.openxmlformats.org/officeDocument/2006/relationships/hyperlink" Target="https://www.ecfr.gov/current/title-14/chapter-I/subchapter-F/part-9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C098106-B178-4503-BC31-041688B21B1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2026-02-03T11:21:00Z</dcterms:created>
  <dcterms:modified xsi:type="dcterms:W3CDTF">2026-02-03T11:34:00Z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