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2B9DC02" w14:textId="77777777">
      <w:pPr>
        <w:pStyle w:val="Title"/>
      </w:pPr>
      <w:r w:rsidRPr="002F663C">
        <w:t>NOTIFICATION</w:t>
      </w:r>
    </w:p>
    <w:p w:rsidR="002F663C" w:rsidRPr="002F663C" w:rsidP="00DD3DD7" w14:paraId="1F3A109F" w14:textId="77777777">
      <w:pPr>
        <w:pStyle w:val="Title3"/>
      </w:pPr>
      <w:r w:rsidRPr="002F663C">
        <w:t>Addendum</w:t>
      </w:r>
    </w:p>
    <w:p w:rsidR="002F663C" w:rsidP="001E2E4A" w14:paraId="119C59B7"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29 January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State of Kuwait</w:t>
      </w:r>
      <w:r w:rsidRPr="002F663C">
        <w:rPr>
          <w:rFonts w:eastAsia="Calibri" w:cs="Times New Roman"/>
        </w:rPr>
        <w:t>.</w:t>
      </w:r>
    </w:p>
    <w:p w:rsidR="001E2E4A" w:rsidRPr="002F663C" w:rsidP="001E2E4A" w14:paraId="362A6C91" w14:textId="77777777">
      <w:pPr>
        <w:rPr>
          <w:rFonts w:eastAsia="Calibri" w:cs="Times New Roman"/>
        </w:rPr>
      </w:pPr>
    </w:p>
    <w:p w:rsidR="002F663C" w:rsidRPr="002F663C" w:rsidP="002F663C" w14:paraId="1493BB2A" w14:textId="77777777">
      <w:pPr>
        <w:jc w:val="center"/>
        <w:rPr>
          <w:rFonts w:eastAsia="Calibri" w:cs="Times New Roman"/>
          <w:b/>
        </w:rPr>
      </w:pPr>
      <w:r w:rsidRPr="002F663C">
        <w:rPr>
          <w:rFonts w:eastAsia="Calibri" w:cs="Times New Roman"/>
          <w:b/>
        </w:rPr>
        <w:t>_______________</w:t>
      </w:r>
    </w:p>
    <w:p w:rsidR="002F663C" w:rsidP="002F663C" w14:paraId="027FEE7D" w14:textId="77777777">
      <w:pPr>
        <w:rPr>
          <w:rFonts w:eastAsia="Calibri" w:cs="Times New Roman"/>
        </w:rPr>
      </w:pPr>
    </w:p>
    <w:p w:rsidR="00C14444" w:rsidRPr="002F663C" w:rsidP="002F663C" w14:paraId="00ECD5AE" w14:textId="77777777">
      <w:pPr>
        <w:rPr>
          <w:rFonts w:eastAsia="Calibri" w:cs="Times New Roman"/>
        </w:rPr>
      </w:pPr>
    </w:p>
    <w:p w:rsidR="002F663C" w:rsidRPr="002F663C" w:rsidP="002F663C" w14:paraId="18CE2465"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Energy Drinks</w:t>
      </w:r>
    </w:p>
    <w:p w:rsidR="002F663C" w:rsidRPr="002F663C" w:rsidP="002F663C" w14:paraId="3756F94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BFB40CA"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EA6B1AF"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4FAB82E" w14:textId="77777777" w:rsidTr="00E9471B">
        <w:tblPrEx>
          <w:tblW w:w="9049" w:type="dxa"/>
          <w:tblLayout w:type="fixed"/>
          <w:tblLook w:val="04A0"/>
        </w:tblPrEx>
        <w:tc>
          <w:tcPr>
            <w:tcW w:w="851" w:type="dxa"/>
          </w:tcPr>
          <w:p w:rsidR="002F663C" w:rsidRPr="00711F9C" w:rsidP="00C14444" w14:paraId="70F18AC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D64F43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2258B83" w14:textId="77777777" w:rsidTr="00E9471B">
        <w:tblPrEx>
          <w:tblW w:w="9049" w:type="dxa"/>
          <w:tblLayout w:type="fixed"/>
          <w:tblLook w:val="04A0"/>
        </w:tblPrEx>
        <w:tc>
          <w:tcPr>
            <w:tcW w:w="851" w:type="dxa"/>
          </w:tcPr>
          <w:p w:rsidR="002F663C" w:rsidRPr="00711F9C" w:rsidP="00C14444" w14:paraId="4178857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7A50E6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E514ADF" w14:textId="77777777" w:rsidTr="00E9471B">
        <w:tblPrEx>
          <w:tblW w:w="9049" w:type="dxa"/>
          <w:tblLayout w:type="fixed"/>
          <w:tblLook w:val="04A0"/>
        </w:tblPrEx>
        <w:tc>
          <w:tcPr>
            <w:tcW w:w="851" w:type="dxa"/>
          </w:tcPr>
          <w:p w:rsidR="002F663C" w:rsidRPr="00711F9C" w:rsidP="00C14444" w14:paraId="1565E62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13A22A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12E9FD62" w14:textId="77777777" w:rsidTr="00E9471B">
        <w:tblPrEx>
          <w:tblW w:w="9049" w:type="dxa"/>
          <w:tblLayout w:type="fixed"/>
          <w:tblLook w:val="04A0"/>
        </w:tblPrEx>
        <w:tc>
          <w:tcPr>
            <w:tcW w:w="851" w:type="dxa"/>
          </w:tcPr>
          <w:p w:rsidR="002F663C" w:rsidRPr="00711F9C" w:rsidP="00C14444" w14:paraId="7FB228C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0D4130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2FBE8587" w14:textId="77777777" w:rsidTr="00E9471B">
        <w:tblPrEx>
          <w:tblW w:w="9049" w:type="dxa"/>
          <w:tblLayout w:type="fixed"/>
          <w:tblLook w:val="04A0"/>
        </w:tblPrEx>
        <w:tc>
          <w:tcPr>
            <w:tcW w:w="851" w:type="dxa"/>
          </w:tcPr>
          <w:p w:rsidR="002F663C" w:rsidRPr="00711F9C" w:rsidP="00C14444" w14:paraId="35AA615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465C835"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48ADE210" w14:textId="77777777" w:rsidTr="00E9471B">
        <w:tblPrEx>
          <w:tblW w:w="9049" w:type="dxa"/>
          <w:tblLayout w:type="fixed"/>
          <w:tblLook w:val="04A0"/>
        </w:tblPrEx>
        <w:tc>
          <w:tcPr>
            <w:tcW w:w="851" w:type="dxa"/>
          </w:tcPr>
          <w:p w:rsidR="002F663C" w:rsidRPr="00711F9C" w:rsidP="00C14444" w14:paraId="3B15519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BE763D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6ED4CF3"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A8A38C8" w14:textId="77777777" w:rsidTr="00E9471B">
        <w:tblPrEx>
          <w:tblW w:w="9049" w:type="dxa"/>
          <w:tblLayout w:type="fixed"/>
          <w:tblLook w:val="04A0"/>
        </w:tblPrEx>
        <w:tc>
          <w:tcPr>
            <w:tcW w:w="851" w:type="dxa"/>
          </w:tcPr>
          <w:p w:rsidR="002F663C" w:rsidRPr="00711F9C" w:rsidP="00C14444" w14:paraId="51C66D3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4586B96"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F24317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4F461DD" w14:textId="77777777" w:rsidTr="00E9471B">
        <w:tblPrEx>
          <w:tblW w:w="9049" w:type="dxa"/>
          <w:tblLayout w:type="fixed"/>
          <w:tblLook w:val="04A0"/>
        </w:tblPrEx>
        <w:tc>
          <w:tcPr>
            <w:tcW w:w="851" w:type="dxa"/>
          </w:tcPr>
          <w:p w:rsidR="002F663C" w:rsidRPr="00711F9C" w:rsidP="00C14444" w14:paraId="23B1445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297CF30"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CF7FBF8" w14:textId="77777777" w:rsidTr="00E9471B">
        <w:tblPrEx>
          <w:tblW w:w="9049" w:type="dxa"/>
          <w:tblLayout w:type="fixed"/>
          <w:tblLook w:val="04A0"/>
        </w:tblPrEx>
        <w:tc>
          <w:tcPr>
            <w:tcW w:w="851" w:type="dxa"/>
            <w:tcBorders>
              <w:bottom w:val="double" w:sz="4" w:space="0" w:color="auto"/>
            </w:tcBorders>
          </w:tcPr>
          <w:p w:rsidR="002F663C" w:rsidRPr="00711F9C" w:rsidP="00C14444" w14:paraId="5E5B5E09"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723357C2"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36BA9B2C" w14:textId="77777777">
            <w:pPr>
              <w:spacing w:before="120" w:after="120"/>
              <w:rPr>
                <w:rFonts w:eastAsia="Calibri" w:cs="Times New Roman"/>
              </w:rPr>
            </w:pPr>
            <w:r>
              <w:rPr>
                <w:rFonts w:eastAsia="Calibri" w:cs="Times New Roman"/>
              </w:rPr>
              <w:t>Notification to the World Trade Organization (WTO)</w:t>
            </w:r>
          </w:p>
          <w:p w:rsidR="00467A46" w:rsidP="00EB7B40" w14:paraId="2FDFBDD4" w14:textId="77777777">
            <w:pPr>
              <w:spacing w:before="120" w:after="120"/>
              <w:rPr>
                <w:rFonts w:eastAsia="Calibri" w:cs="Times New Roman"/>
              </w:rPr>
            </w:pPr>
            <w:r>
              <w:rPr>
                <w:rFonts w:eastAsia="Calibri" w:cs="Times New Roman"/>
              </w:rPr>
              <w:t>Committee on Technical Barriers to Trade (TBT)</w:t>
            </w:r>
          </w:p>
          <w:p w:rsidR="00467A46" w:rsidP="00EB7B40" w14:paraId="5F4B2DEA" w14:textId="77777777">
            <w:pPr>
              <w:spacing w:before="120" w:after="120"/>
              <w:rPr>
                <w:rFonts w:eastAsia="Calibri" w:cs="Times New Roman"/>
              </w:rPr>
            </w:pPr>
            <w:r>
              <w:rPr>
                <w:rFonts w:eastAsia="Calibri" w:cs="Times New Roman"/>
              </w:rPr>
              <w:t>Agency responsible: Public Authority for Food and Nutrition (PAFN)</w:t>
            </w:r>
          </w:p>
          <w:p w:rsidR="00467A46" w:rsidP="00EB7B40" w14:paraId="622D4F9C" w14:textId="77777777">
            <w:pPr>
              <w:spacing w:before="120" w:after="120"/>
              <w:rPr>
                <w:rFonts w:eastAsia="Calibri" w:cs="Times New Roman"/>
              </w:rPr>
            </w:pPr>
            <w:r>
              <w:rPr>
                <w:rFonts w:eastAsia="Calibri" w:cs="Times New Roman"/>
              </w:rPr>
              <w:t>Title of measure: Transitional Period Granted for Amending Labelling and Information Requirements on Energy Drink Products</w:t>
            </w:r>
          </w:p>
          <w:p w:rsidR="00467A46" w:rsidP="00EB7B40" w14:paraId="7F53F932" w14:textId="77777777">
            <w:pPr>
              <w:spacing w:before="120" w:after="120"/>
              <w:rPr>
                <w:rFonts w:eastAsia="Calibri" w:cs="Times New Roman"/>
              </w:rPr>
            </w:pPr>
            <w:r>
              <w:rPr>
                <w:rFonts w:eastAsia="Calibri" w:cs="Times New Roman"/>
              </w:rPr>
              <w:t>Relevant regulation: Ministerial Resolution No. (351) of 2025 - Regulation of Energy Drink in the State of Kuwait</w:t>
            </w:r>
          </w:p>
          <w:p w:rsidR="00467A46" w:rsidP="00EB7B40" w14:paraId="538BF816" w14:textId="76D4D194">
            <w:pPr>
              <w:spacing w:before="120" w:after="120"/>
              <w:rPr>
                <w:rFonts w:eastAsia="Calibri" w:cs="Times New Roman"/>
              </w:rPr>
            </w:pPr>
            <w:r>
              <w:rPr>
                <w:rFonts w:eastAsia="Calibri" w:cs="Times New Roman"/>
              </w:rPr>
              <w:t>Date of adoption: June</w:t>
            </w:r>
            <w:r>
              <w:rPr>
                <w:rFonts w:eastAsia="Calibri" w:cs="Times New Roman"/>
              </w:rPr>
              <w:t xml:space="preserve"> 2026 for labelling</w:t>
            </w:r>
          </w:p>
          <w:p w:rsidR="00467A46" w:rsidP="00EB7B40" w14:paraId="3BB946D3" w14:textId="798B7A04">
            <w:pPr>
              <w:spacing w:before="120" w:after="120"/>
              <w:rPr>
                <w:rFonts w:eastAsia="Calibri" w:cs="Times New Roman"/>
              </w:rPr>
            </w:pPr>
            <w:r>
              <w:rPr>
                <w:rFonts w:eastAsia="Calibri" w:cs="Times New Roman"/>
              </w:rPr>
              <w:t xml:space="preserve">Date of publication: 24 </w:t>
            </w:r>
            <w:r>
              <w:rPr>
                <w:rFonts w:eastAsia="Calibri" w:cs="Times New Roman"/>
              </w:rPr>
              <w:t>Dec 2025</w:t>
            </w:r>
          </w:p>
          <w:p w:rsidR="00467A46" w:rsidP="00EB7B40" w14:paraId="4DDED688" w14:textId="77777777">
            <w:pPr>
              <w:spacing w:before="120" w:after="120"/>
              <w:rPr>
                <w:rFonts w:eastAsia="Calibri" w:cs="Times New Roman"/>
              </w:rPr>
            </w:pPr>
            <w:r>
              <w:rPr>
                <w:rFonts w:eastAsia="Calibri" w:cs="Times New Roman"/>
              </w:rPr>
              <w:t>Proposed date of entry into force: From the date of publication, with a transitional period for labelling only</w:t>
            </w:r>
          </w:p>
          <w:p w:rsidR="00467A46" w:rsidP="00EB7B40" w14:paraId="78D8FCFD" w14:textId="77777777">
            <w:pPr>
              <w:spacing w:before="120" w:after="120"/>
              <w:rPr>
                <w:rFonts w:eastAsia="Calibri" w:cs="Times New Roman"/>
              </w:rPr>
            </w:pPr>
            <w:hyperlink r:id="rId6" w:tgtFrame="_blank" w:history="1">
              <w:r>
                <w:rPr>
                  <w:rFonts w:eastAsia="Calibri" w:cs="Times New Roman"/>
                  <w:color w:val="0000FF"/>
                  <w:u w:val="single"/>
                </w:rPr>
                <w:t>https://members.wto.org/crnattachments/2026/TBT/KWT/26_00593_00_x.pdf</w:t>
              </w:r>
            </w:hyperlink>
          </w:p>
          <w:p w:rsidR="00467A46" w:rsidP="00EB7B40" w14:paraId="376E7118"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https://members.wto.org/crnattachments/2026/TBT/KWT/26_00593_00_e.pdf</w:t>
              </w:r>
            </w:hyperlink>
          </w:p>
          <w:p w:rsidR="00467A46" w:rsidP="00EB7B40" w14:paraId="22F570E0" w14:textId="77777777">
            <w:pPr>
              <w:spacing w:before="120" w:after="120"/>
              <w:rPr>
                <w:rFonts w:eastAsia="Calibri" w:cs="Times New Roman"/>
              </w:rPr>
            </w:pPr>
            <w:hyperlink r:id="rId8" w:tgtFrame="_blank" w:history="1">
              <w:r>
                <w:rPr>
                  <w:rFonts w:eastAsia="Calibri" w:cs="Times New Roman"/>
                  <w:color w:val="0000FF"/>
                  <w:u w:val="single"/>
                </w:rPr>
                <w:t>https://members.wto.org/crnattachments/2026/TBT/KWT/26_00593_01_e.pdf</w:t>
              </w:r>
            </w:hyperlink>
          </w:p>
        </w:tc>
      </w:tr>
      <w:bookmarkEnd w:id="0"/>
    </w:tbl>
    <w:p w:rsidR="002F663C" w:rsidRPr="002F663C" w:rsidP="002F663C" w14:paraId="108A3496" w14:textId="77777777">
      <w:pPr>
        <w:jc w:val="left"/>
        <w:rPr>
          <w:rFonts w:eastAsia="Calibri" w:cs="Times New Roman"/>
          <w:highlight w:val="yellow"/>
        </w:rPr>
      </w:pPr>
    </w:p>
    <w:p w:rsidR="003971FF" w:rsidRPr="007F6EA2" w:rsidP="00B16ACF" w14:paraId="211009A7"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Description of the Measure</w:t>
      </w:r>
    </w:p>
    <w:p w:rsidR="00074BF5" w:rsidRPr="002F663C" w:rsidP="00B16ACF" w14:paraId="1836D6BB" w14:textId="37E53A1F">
      <w:pPr>
        <w:spacing w:before="120" w:after="120"/>
        <w:rPr>
          <w:rFonts w:eastAsia="Calibri" w:cs="Times New Roman"/>
          <w:szCs w:val="18"/>
        </w:rPr>
      </w:pPr>
      <w:r w:rsidRPr="002F663C">
        <w:rPr>
          <w:rFonts w:eastAsia="Calibri" w:cs="Times New Roman"/>
          <w:szCs w:val="18"/>
        </w:rPr>
        <w:t>The State of Kuwait hereby notifies the World Trade Organization that, pursuant to Ministerial Resolution No.</w:t>
      </w:r>
      <w:r w:rsidRPr="002F663C">
        <w:rPr>
          <w:rFonts w:eastAsia="Calibri" w:cs="Times New Roman"/>
          <w:szCs w:val="18"/>
        </w:rPr>
        <w:t>(351) of 2025 issued by the Ministry of Health regulating the circulation and sale of energy drinks in the State of Kuwait, a transitional period of six (6) months has been granted to producers and importers of energy drink products.</w:t>
      </w:r>
    </w:p>
    <w:p w:rsidR="00074BF5" w:rsidRPr="002F663C" w:rsidP="00B16ACF" w14:paraId="0AD88F17" w14:textId="77777777">
      <w:pPr>
        <w:spacing w:before="120" w:after="120"/>
        <w:rPr>
          <w:rFonts w:eastAsia="Calibri" w:cs="Times New Roman"/>
          <w:szCs w:val="18"/>
        </w:rPr>
      </w:pPr>
      <w:r w:rsidRPr="002F663C">
        <w:rPr>
          <w:rFonts w:eastAsia="Calibri" w:cs="Times New Roman"/>
          <w:szCs w:val="18"/>
        </w:rPr>
        <w:t>This transitional period applies exclusively to the amendment of food labels and mandatory information statements affixed to energy drink packages, in order to ensure full compliance with the labelling and warning requirements stipulated under the above-mentioned Ministerial Resolution.</w:t>
      </w:r>
    </w:p>
    <w:p w:rsidR="00074BF5" w:rsidRPr="002F663C" w:rsidP="00B16ACF" w14:paraId="30F61FF3" w14:textId="77777777">
      <w:pPr>
        <w:spacing w:before="120" w:after="120"/>
        <w:rPr>
          <w:rFonts w:eastAsia="Calibri" w:cs="Times New Roman"/>
          <w:szCs w:val="18"/>
        </w:rPr>
      </w:pPr>
      <w:r w:rsidRPr="002F663C">
        <w:rPr>
          <w:rFonts w:eastAsia="Calibri" w:cs="Times New Roman"/>
          <w:szCs w:val="18"/>
        </w:rPr>
        <w:t>Scope and Limitations</w:t>
      </w:r>
    </w:p>
    <w:p w:rsidR="00074BF5" w:rsidRPr="002F663C" w:rsidP="00B16ACF" w14:paraId="6D3488C3" w14:textId="77777777">
      <w:pPr>
        <w:spacing w:before="120" w:after="120"/>
        <w:rPr>
          <w:rFonts w:eastAsia="Calibri" w:cs="Times New Roman"/>
          <w:szCs w:val="18"/>
        </w:rPr>
      </w:pPr>
      <w:r w:rsidRPr="002F663C">
        <w:rPr>
          <w:rFonts w:eastAsia="Calibri" w:cs="Times New Roman"/>
          <w:szCs w:val="18"/>
        </w:rPr>
        <w:t>It is emphasized that the granted transitional period:</w:t>
      </w:r>
    </w:p>
    <w:p w:rsidR="00074BF5" w:rsidRPr="002F663C" w:rsidP="00B16ACF" w14:paraId="136F98BA" w14:textId="618B4BBB">
      <w:pPr>
        <w:spacing w:before="120" w:after="120"/>
        <w:rPr>
          <w:rFonts w:eastAsia="Calibri" w:cs="Times New Roman"/>
          <w:szCs w:val="18"/>
        </w:rPr>
      </w:pPr>
      <w:r w:rsidRPr="002F663C">
        <w:rPr>
          <w:rFonts w:eastAsia="Calibri" w:cs="Times New Roman"/>
          <w:szCs w:val="18"/>
        </w:rPr>
        <w:t>*</w:t>
      </w:r>
      <w:r w:rsidR="00EF54B2">
        <w:rPr>
          <w:rFonts w:eastAsia="Calibri" w:cs="Times New Roman"/>
          <w:szCs w:val="18"/>
        </w:rPr>
        <w:t xml:space="preserve"> I</w:t>
      </w:r>
      <w:r w:rsidRPr="002F663C">
        <w:rPr>
          <w:rFonts w:eastAsia="Calibri" w:cs="Times New Roman"/>
          <w:szCs w:val="18"/>
        </w:rPr>
        <w:t>s strictly limited to labelling and information requirements only: and ND NUTRITION</w:t>
      </w:r>
    </w:p>
    <w:p w:rsidR="00074BF5" w:rsidRPr="002F663C" w:rsidP="00B16ACF" w14:paraId="3B42E306" w14:textId="7CC486BF">
      <w:pPr>
        <w:spacing w:before="120" w:after="120"/>
        <w:rPr>
          <w:rFonts w:eastAsia="Calibri" w:cs="Times New Roman"/>
          <w:szCs w:val="18"/>
        </w:rPr>
      </w:pPr>
      <w:r w:rsidRPr="002F663C">
        <w:rPr>
          <w:rFonts w:eastAsia="Calibri" w:cs="Times New Roman"/>
          <w:szCs w:val="18"/>
        </w:rPr>
        <w:t xml:space="preserve">* </w:t>
      </w:r>
      <w:r w:rsidRPr="002F663C">
        <w:rPr>
          <w:rFonts w:eastAsia="Calibri" w:cs="Times New Roman"/>
          <w:szCs w:val="18"/>
        </w:rPr>
        <w:t>Does not affect, delay, suspend, or exempt the application of any other provisions of Ministerial Resolution No. (351) of 2025.</w:t>
      </w:r>
    </w:p>
    <w:p w:rsidR="00074BF5" w:rsidRPr="002F663C" w:rsidP="00B16ACF" w14:paraId="100C33A6" w14:textId="77777777">
      <w:pPr>
        <w:spacing w:before="120" w:after="120"/>
        <w:rPr>
          <w:rFonts w:eastAsia="Calibri" w:cs="Times New Roman"/>
          <w:szCs w:val="18"/>
        </w:rPr>
      </w:pPr>
      <w:r w:rsidRPr="002F663C">
        <w:rPr>
          <w:rFonts w:eastAsia="Calibri" w:cs="Times New Roman"/>
          <w:szCs w:val="18"/>
        </w:rPr>
        <w:t>All other regulatory requirements, including restrictions related to circulation, marketing, and consumer protection measures, remain fully applicable and enforceable from the date of publication of the Resolution in the Official Gazette.</w:t>
      </w:r>
    </w:p>
    <w:p w:rsidR="00074BF5" w:rsidRPr="002F663C" w:rsidP="00B16ACF" w14:paraId="3F26324F" w14:textId="77777777">
      <w:pPr>
        <w:spacing w:before="120" w:after="120"/>
        <w:rPr>
          <w:rFonts w:eastAsia="Calibri" w:cs="Times New Roman"/>
          <w:szCs w:val="18"/>
        </w:rPr>
      </w:pPr>
      <w:r w:rsidRPr="002F663C">
        <w:rPr>
          <w:rFonts w:eastAsia="Calibri" w:cs="Times New Roman"/>
          <w:szCs w:val="18"/>
        </w:rPr>
        <w:t>Objective a n d Rationale</w:t>
      </w:r>
    </w:p>
    <w:p w:rsidR="00074BF5" w:rsidRPr="002F663C" w:rsidP="00B16ACF" w14:paraId="3764D3B8" w14:textId="77777777">
      <w:pPr>
        <w:spacing w:before="120" w:after="120"/>
        <w:rPr>
          <w:rFonts w:eastAsia="Calibri" w:cs="Times New Roman"/>
          <w:szCs w:val="18"/>
        </w:rPr>
      </w:pPr>
      <w:r w:rsidRPr="002F663C">
        <w:rPr>
          <w:rFonts w:eastAsia="Calibri" w:cs="Times New Roman"/>
          <w:szCs w:val="18"/>
        </w:rPr>
        <w:t>The objective of granting this transitional period is to:</w:t>
      </w:r>
    </w:p>
    <w:p w:rsidR="00074BF5" w:rsidRPr="002F663C" w:rsidP="00B16ACF" w14:paraId="321B1D93" w14:textId="77777777">
      <w:pPr>
        <w:spacing w:before="120" w:after="120"/>
        <w:rPr>
          <w:rFonts w:eastAsia="Calibri" w:cs="Times New Roman"/>
          <w:szCs w:val="18"/>
        </w:rPr>
      </w:pPr>
      <w:r w:rsidRPr="002F663C">
        <w:rPr>
          <w:rFonts w:eastAsia="Calibri" w:cs="Times New Roman"/>
          <w:szCs w:val="18"/>
        </w:rPr>
        <w:t>• Facilitate a smooth regulatory transition for economic operators;</w:t>
      </w:r>
    </w:p>
    <w:p w:rsidR="00074BF5" w:rsidRPr="002F663C" w:rsidP="00B16ACF" w14:paraId="554A612D" w14:textId="77777777">
      <w:pPr>
        <w:spacing w:before="120" w:after="120"/>
        <w:rPr>
          <w:rFonts w:eastAsia="Calibri" w:cs="Times New Roman"/>
          <w:szCs w:val="18"/>
        </w:rPr>
      </w:pPr>
      <w:r w:rsidRPr="002F663C">
        <w:rPr>
          <w:rFonts w:eastAsia="Calibri" w:cs="Times New Roman"/>
          <w:szCs w:val="18"/>
        </w:rPr>
        <w:t>• Ensure adequate time for technical adjustments to product labels; and</w:t>
      </w:r>
    </w:p>
    <w:p w:rsidR="00074BF5" w:rsidRPr="002F663C" w:rsidP="00B16ACF" w14:paraId="217ECDD9" w14:textId="77777777">
      <w:pPr>
        <w:spacing w:before="120" w:after="120"/>
        <w:rPr>
          <w:rFonts w:eastAsia="Calibri" w:cs="Times New Roman"/>
          <w:szCs w:val="18"/>
        </w:rPr>
      </w:pPr>
      <w:r w:rsidRPr="002F663C">
        <w:rPr>
          <w:rFonts w:eastAsia="Calibri" w:cs="Times New Roman"/>
          <w:szCs w:val="18"/>
        </w:rPr>
        <w:t>• Maintain transparency and predictability in trade measures, in line with the principles of the WTO</w:t>
      </w:r>
    </w:p>
    <w:p w:rsidR="00074BF5" w:rsidRPr="002F663C" w:rsidP="00B16ACF" w14:paraId="18ABB0C9" w14:textId="77777777">
      <w:pPr>
        <w:spacing w:before="120" w:after="120"/>
        <w:rPr>
          <w:rFonts w:eastAsia="Calibri" w:cs="Times New Roman"/>
          <w:szCs w:val="18"/>
        </w:rPr>
      </w:pPr>
      <w:r w:rsidRPr="002F663C">
        <w:rPr>
          <w:rFonts w:eastAsia="Calibri" w:cs="Times New Roman"/>
          <w:szCs w:val="18"/>
        </w:rPr>
        <w:t>Agreement on Technical Barriers to Trade (TBT Agreement), without compromising public health</w:t>
      </w:r>
    </w:p>
    <w:p w:rsidR="00074BF5" w:rsidRPr="002F663C" w:rsidP="00B16ACF" w14:paraId="0DA9D648" w14:textId="77777777">
      <w:pPr>
        <w:spacing w:before="120" w:after="120"/>
        <w:rPr>
          <w:rFonts w:eastAsia="Calibri" w:cs="Times New Roman"/>
          <w:szCs w:val="18"/>
        </w:rPr>
      </w:pPr>
      <w:r w:rsidRPr="002F663C">
        <w:rPr>
          <w:rFonts w:eastAsia="Calibri" w:cs="Times New Roman"/>
          <w:szCs w:val="18"/>
        </w:rPr>
        <w:t>protection.</w:t>
      </w:r>
    </w:p>
    <w:p w:rsidR="00074BF5" w:rsidRPr="002F663C" w:rsidP="00B16ACF" w14:paraId="478E31AB" w14:textId="77777777">
      <w:pPr>
        <w:spacing w:before="120" w:after="120"/>
        <w:rPr>
          <w:rFonts w:eastAsia="Calibri" w:cs="Times New Roman"/>
          <w:szCs w:val="18"/>
        </w:rPr>
      </w:pPr>
      <w:r w:rsidRPr="002F663C">
        <w:rPr>
          <w:rFonts w:eastAsia="Calibri" w:cs="Times New Roman"/>
          <w:szCs w:val="18"/>
        </w:rPr>
        <w:t>International Trade Impact</w:t>
      </w:r>
    </w:p>
    <w:p w:rsidR="00074BF5" w:rsidRPr="002F663C" w:rsidP="00B16ACF" w14:paraId="63D0F59C" w14:textId="4C720963">
      <w:pPr>
        <w:spacing w:before="120" w:after="120"/>
        <w:rPr>
          <w:rFonts w:eastAsia="Calibri" w:cs="Times New Roman"/>
          <w:szCs w:val="18"/>
        </w:rPr>
      </w:pPr>
      <w:r w:rsidRPr="002F663C">
        <w:rPr>
          <w:rFonts w:eastAsia="Calibri" w:cs="Times New Roman"/>
          <w:szCs w:val="18"/>
        </w:rPr>
        <w:t>The measure is non-discriminatory, applies equally to domestic and imported products, and is not intended</w:t>
      </w:r>
      <w:r w:rsidR="00EF54B2">
        <w:rPr>
          <w:rFonts w:eastAsia="Calibri" w:cs="Times New Roman"/>
          <w:szCs w:val="18"/>
        </w:rPr>
        <w:t xml:space="preserve"> </w:t>
      </w:r>
      <w:r w:rsidRPr="002F663C">
        <w:rPr>
          <w:rFonts w:eastAsia="Calibri" w:cs="Times New Roman"/>
          <w:szCs w:val="18"/>
        </w:rPr>
        <w:t>to create unnecessary obstacles to international trade.</w:t>
      </w:r>
    </w:p>
    <w:p w:rsidR="006C5A96" w:rsidP="006C5A96" w14:paraId="626B4ACB" w14:textId="77777777">
      <w:pPr>
        <w:jc w:val="center"/>
        <w:rPr>
          <w:b/>
        </w:rPr>
      </w:pPr>
      <w:r w:rsidRPr="003971FF">
        <w:rPr>
          <w:b/>
        </w:rPr>
        <w:t>__________</w:t>
      </w:r>
    </w:p>
    <w:p w:rsidR="004D4D19" w:rsidP="007F38C2" w14:paraId="492147E1" w14:textId="77777777">
      <w:pPr>
        <w:jc w:val="center"/>
        <w:rPr>
          <w:b/>
        </w:rPr>
      </w:pPr>
    </w:p>
    <w:p w:rsidR="00A1565D" w:rsidP="003971FF" w14:paraId="1CCF5F6D"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11EC5AC"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5618701"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0DD38EC" w14:textId="77777777">
      <w:r>
        <w:separator/>
      </w:r>
    </w:p>
  </w:footnote>
  <w:footnote w:type="continuationSeparator" w:id="1">
    <w:p w:rsidR="004D3A6A" w:rsidP="00ED54E0" w14:paraId="4C3E678C" w14:textId="77777777">
      <w:r>
        <w:continuationSeparator/>
      </w:r>
    </w:p>
  </w:footnote>
  <w:footnote w:id="2">
    <w:p w:rsidR="007F6EA2" w14:paraId="72059FAD"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80FF5C7"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75482CC" w14:textId="77777777">
    <w:pPr>
      <w:pStyle w:val="Header"/>
      <w:pBdr>
        <w:bottom w:val="single" w:sz="4" w:space="1" w:color="auto"/>
      </w:pBdr>
      <w:tabs>
        <w:tab w:val="clear" w:pos="4513"/>
        <w:tab w:val="clear" w:pos="9027"/>
      </w:tabs>
      <w:jc w:val="center"/>
    </w:pPr>
  </w:p>
  <w:p w:rsidR="00DD3DD7" w:rsidRPr="00DD3DD7" w:rsidP="00DD3DD7" w14:paraId="402AAC1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018E25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226301FA" w14:textId="77777777">
    <w:pPr>
      <w:pStyle w:val="Header"/>
      <w:pBdr>
        <w:bottom w:val="single" w:sz="4" w:space="1" w:color="auto"/>
      </w:pBdr>
      <w:tabs>
        <w:tab w:val="clear" w:pos="4513"/>
        <w:tab w:val="clear" w:pos="9027"/>
      </w:tabs>
      <w:jc w:val="center"/>
    </w:pPr>
    <w:bookmarkStart w:id="3" w:name="spsSymbolHeader"/>
    <w:r w:rsidRPr="00DD3DD7">
      <w:t>G/TBT/N/KWT/483/Add.3</w:t>
    </w:r>
    <w:bookmarkEnd w:id="3"/>
  </w:p>
  <w:p w:rsidR="00DD3DD7" w:rsidRPr="00DD3DD7" w:rsidP="00DD3DD7" w14:paraId="4B4F8B58" w14:textId="77777777">
    <w:pPr>
      <w:pStyle w:val="Header"/>
      <w:pBdr>
        <w:bottom w:val="single" w:sz="4" w:space="1" w:color="auto"/>
      </w:pBdr>
      <w:tabs>
        <w:tab w:val="clear" w:pos="4513"/>
        <w:tab w:val="clear" w:pos="9027"/>
      </w:tabs>
      <w:jc w:val="center"/>
    </w:pPr>
  </w:p>
  <w:p w:rsidR="00DD3DD7" w:rsidRPr="00DD3DD7" w:rsidP="00DD3DD7" w14:paraId="45A1794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5EB739A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8308720"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63B747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1EF6632" w14:textId="77777777">
          <w:pPr>
            <w:jc w:val="right"/>
            <w:rPr>
              <w:b/>
              <w:color w:val="FF0000"/>
              <w:szCs w:val="16"/>
            </w:rPr>
          </w:pPr>
          <w:r>
            <w:rPr>
              <w:b/>
              <w:color w:val="FF0000"/>
              <w:szCs w:val="16"/>
            </w:rPr>
            <w:t xml:space="preserve"> </w:t>
          </w:r>
        </w:p>
      </w:tc>
    </w:tr>
    <w:tr w14:paraId="0DABE523"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8BC8CF3"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4781435" w14:textId="77777777">
          <w:pPr>
            <w:jc w:val="right"/>
            <w:rPr>
              <w:b/>
              <w:szCs w:val="16"/>
            </w:rPr>
          </w:pPr>
        </w:p>
      </w:tc>
    </w:tr>
    <w:tr w14:paraId="33082AA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68225D1"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9F17BF3" w14:textId="77777777">
          <w:pPr>
            <w:jc w:val="right"/>
            <w:rPr>
              <w:rFonts w:eastAsia="Calibri" w:cs="Times New Roman"/>
              <w:b/>
              <w:szCs w:val="16"/>
            </w:rPr>
          </w:pPr>
          <w:bookmarkStart w:id="4" w:name="bmkSymbols"/>
          <w:r w:rsidRPr="002F663C">
            <w:rPr>
              <w:rFonts w:eastAsia="Calibri" w:cs="Times New Roman"/>
              <w:b/>
              <w:szCs w:val="16"/>
            </w:rPr>
            <w:t>G/TBT/N/KWT/483/Add.3</w:t>
          </w:r>
          <w:bookmarkEnd w:id="4"/>
        </w:p>
        <w:p w:rsidR="00C14444" w:rsidRPr="00C14444" w:rsidP="00C14444" w14:paraId="602CD585" w14:textId="77777777">
          <w:pPr>
            <w:jc w:val="center"/>
            <w:rPr>
              <w:szCs w:val="16"/>
            </w:rPr>
          </w:pPr>
        </w:p>
      </w:tc>
    </w:tr>
    <w:tr w14:paraId="436B8D70"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B59329D" w14:textId="77777777"/>
      </w:tc>
      <w:tc>
        <w:tcPr>
          <w:tcW w:w="5448" w:type="dxa"/>
          <w:gridSpan w:val="2"/>
          <w:shd w:val="clear" w:color="auto" w:fill="FFFFFF"/>
          <w:tcMar>
            <w:left w:w="108" w:type="dxa"/>
            <w:right w:w="108" w:type="dxa"/>
          </w:tcMar>
          <w:vAlign w:val="center"/>
        </w:tcPr>
        <w:p w:rsidR="00ED54E0" w:rsidRPr="00182B84" w:rsidP="00425DC5" w14:paraId="07F7AB19" w14:textId="77777777">
          <w:pPr>
            <w:jc w:val="right"/>
            <w:rPr>
              <w:szCs w:val="16"/>
            </w:rPr>
          </w:pPr>
          <w:bookmarkStart w:id="5" w:name="bmkDate"/>
          <w:r w:rsidRPr="00182B84">
            <w:rPr>
              <w:szCs w:val="16"/>
            </w:rPr>
            <w:t>3 February 2026</w:t>
          </w:r>
          <w:bookmarkEnd w:id="5"/>
        </w:p>
      </w:tc>
    </w:tr>
    <w:tr w14:paraId="2876903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01DD3BD" w14:textId="77777777">
          <w:pPr>
            <w:jc w:val="left"/>
            <w:rPr>
              <w:b/>
            </w:rPr>
          </w:pPr>
          <w:bookmarkStart w:id="6" w:name="bmkSerial"/>
          <w:r>
            <w:rPr>
              <w:rFonts w:ascii="Verdana" w:eastAsia="Verdana" w:hAnsi="Verdana" w:cs="Verdana"/>
              <w:b w:val="0"/>
              <w:color w:val="FF0000"/>
              <w:sz w:val="18"/>
            </w:rPr>
            <w:t>(26-0738)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350A92A"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496E26B7"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7886826"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7105A89"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1D0188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95466176">
    <w:abstractNumId w:val="9"/>
  </w:num>
  <w:num w:numId="2" w16cid:durableId="1374966212">
    <w:abstractNumId w:val="7"/>
  </w:num>
  <w:num w:numId="3" w16cid:durableId="713819930">
    <w:abstractNumId w:val="6"/>
  </w:num>
  <w:num w:numId="4" w16cid:durableId="2040161891">
    <w:abstractNumId w:val="5"/>
  </w:num>
  <w:num w:numId="5" w16cid:durableId="2068990663">
    <w:abstractNumId w:val="4"/>
  </w:num>
  <w:num w:numId="6" w16cid:durableId="1885826283">
    <w:abstractNumId w:val="12"/>
  </w:num>
  <w:num w:numId="7" w16cid:durableId="422073697">
    <w:abstractNumId w:val="11"/>
  </w:num>
  <w:num w:numId="8" w16cid:durableId="300619486">
    <w:abstractNumId w:val="10"/>
  </w:num>
  <w:num w:numId="9" w16cid:durableId="9140968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3472495">
    <w:abstractNumId w:val="13"/>
  </w:num>
  <w:num w:numId="11" w16cid:durableId="119567922">
    <w:abstractNumId w:val="8"/>
  </w:num>
  <w:num w:numId="12" w16cid:durableId="1724792674">
    <w:abstractNumId w:val="3"/>
  </w:num>
  <w:num w:numId="13" w16cid:durableId="1262373427">
    <w:abstractNumId w:val="2"/>
  </w:num>
  <w:num w:numId="14" w16cid:durableId="1927642772">
    <w:abstractNumId w:val="1"/>
  </w:num>
  <w:num w:numId="15" w16cid:durableId="2010325676">
    <w:abstractNumId w:val="0"/>
  </w:num>
  <w:num w:numId="16" w16cid:durableId="78750864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74BF5"/>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37A92"/>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E6FFC"/>
    <w:rsid w:val="00EF54B2"/>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5E3E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6/TBT/KWT/26_00593_00_x.pdf" TargetMode="External" /><Relationship Id="rId7" Type="http://schemas.openxmlformats.org/officeDocument/2006/relationships/hyperlink" Target="https://members.wto.org/crnattachments/2026/TBT/KWT/26_00593_00_e.pdf" TargetMode="External" /><Relationship Id="rId8" Type="http://schemas.openxmlformats.org/officeDocument/2006/relationships/hyperlink" Target="https://members.wto.org/crnattachments/2026/TBT/KWT/26_00593_01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2026-02-03T11:16:00Z</dcterms:created>
  <dcterms:modified xsi:type="dcterms:W3CDTF">2026-02-03T11:17:00Z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