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3162F45" w14:textId="77777777">
      <w:pPr>
        <w:pStyle w:val="Title"/>
      </w:pPr>
      <w:r w:rsidRPr="002F663C">
        <w:t>NOTIFICATION</w:t>
      </w:r>
    </w:p>
    <w:p w:rsidR="002F663C" w:rsidRPr="002F663C" w:rsidP="00DD3DD7" w14:paraId="7520378A" w14:textId="77777777">
      <w:pPr>
        <w:pStyle w:val="Title3"/>
      </w:pPr>
      <w:r w:rsidRPr="002F663C">
        <w:t>Addendum</w:t>
      </w:r>
    </w:p>
    <w:p w:rsidR="002F663C" w:rsidP="001E2E4A" w14:paraId="6FFFA24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30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3D01E625" w14:textId="77777777">
      <w:pPr>
        <w:rPr>
          <w:rFonts w:eastAsia="Calibri" w:cs="Times New Roman"/>
        </w:rPr>
      </w:pPr>
    </w:p>
    <w:p w:rsidR="002F663C" w:rsidRPr="002F663C" w:rsidP="002F663C" w14:paraId="0CE6FDA0" w14:textId="77777777">
      <w:pPr>
        <w:jc w:val="center"/>
        <w:rPr>
          <w:rFonts w:eastAsia="Calibri" w:cs="Times New Roman"/>
          <w:b/>
        </w:rPr>
      </w:pPr>
      <w:r w:rsidRPr="002F663C">
        <w:rPr>
          <w:rFonts w:eastAsia="Calibri" w:cs="Times New Roman"/>
          <w:b/>
        </w:rPr>
        <w:t>_______________</w:t>
      </w:r>
    </w:p>
    <w:p w:rsidR="002F663C" w:rsidP="002F663C" w14:paraId="149C90FC" w14:textId="77777777">
      <w:pPr>
        <w:rPr>
          <w:rFonts w:eastAsia="Calibri" w:cs="Times New Roman"/>
        </w:rPr>
      </w:pPr>
    </w:p>
    <w:p w:rsidR="00C14444" w:rsidRPr="002F663C" w:rsidP="002F663C" w14:paraId="5572CD51" w14:textId="77777777">
      <w:pPr>
        <w:rPr>
          <w:rFonts w:eastAsia="Calibri" w:cs="Times New Roman"/>
        </w:rPr>
      </w:pPr>
    </w:p>
    <w:p w:rsidR="002F663C" w:rsidRPr="002F663C" w:rsidP="002F663C" w14:paraId="303B77F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Updated proposal on </w:t>
      </w:r>
      <w:r w:rsidRPr="00022513">
        <w:rPr>
          <w:rFonts w:eastAsia="Calibri" w:cs="Times New Roman"/>
          <w:bCs/>
          <w:i/>
          <w:iCs/>
          <w:szCs w:val="18"/>
        </w:rPr>
        <w:t xml:space="preserve">Clinical Trials Regulations </w:t>
      </w:r>
      <w:r w:rsidRPr="00022513">
        <w:rPr>
          <w:rFonts w:eastAsia="Calibri" w:cs="Times New Roman"/>
          <w:bCs/>
          <w:szCs w:val="18"/>
        </w:rPr>
        <w:t xml:space="preserve">and </w:t>
      </w:r>
      <w:r w:rsidRPr="00022513">
        <w:rPr>
          <w:rFonts w:eastAsia="Calibri" w:cs="Times New Roman"/>
          <w:bCs/>
          <w:i/>
          <w:iCs/>
          <w:szCs w:val="18"/>
        </w:rPr>
        <w:t xml:space="preserve">Regulations Amending Certain Regulations Relating to Clinical Trials </w:t>
      </w:r>
    </w:p>
    <w:p w:rsidR="002F663C" w:rsidRPr="002F663C" w:rsidP="002F663C" w14:paraId="7476FD6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1A2DF9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3E41FC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1EA1870" w14:textId="77777777" w:rsidTr="00E9471B">
        <w:tblPrEx>
          <w:tblW w:w="9049" w:type="dxa"/>
          <w:tblLayout w:type="fixed"/>
          <w:tblLook w:val="04A0"/>
        </w:tblPrEx>
        <w:tc>
          <w:tcPr>
            <w:tcW w:w="851" w:type="dxa"/>
          </w:tcPr>
          <w:p w:rsidR="002F663C" w:rsidRPr="00711F9C" w:rsidP="00C14444" w14:paraId="506891B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6AA64C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E0AD2F7" w14:textId="77777777" w:rsidTr="00E9471B">
        <w:tblPrEx>
          <w:tblW w:w="9049" w:type="dxa"/>
          <w:tblLayout w:type="fixed"/>
          <w:tblLook w:val="04A0"/>
        </w:tblPrEx>
        <w:tc>
          <w:tcPr>
            <w:tcW w:w="851" w:type="dxa"/>
          </w:tcPr>
          <w:p w:rsidR="002F663C" w:rsidRPr="00711F9C" w:rsidP="00C14444" w14:paraId="6CB8663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9362A8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874B7D6" w14:textId="77777777" w:rsidTr="00E9471B">
        <w:tblPrEx>
          <w:tblW w:w="9049" w:type="dxa"/>
          <w:tblLayout w:type="fixed"/>
          <w:tblLook w:val="04A0"/>
        </w:tblPrEx>
        <w:tc>
          <w:tcPr>
            <w:tcW w:w="851" w:type="dxa"/>
          </w:tcPr>
          <w:p w:rsidR="002F663C" w:rsidRPr="00711F9C" w:rsidP="00C14444" w14:paraId="704C17A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235792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A110769" w14:textId="77777777" w:rsidTr="00E9471B">
        <w:tblPrEx>
          <w:tblW w:w="9049" w:type="dxa"/>
          <w:tblLayout w:type="fixed"/>
          <w:tblLook w:val="04A0"/>
        </w:tblPrEx>
        <w:tc>
          <w:tcPr>
            <w:tcW w:w="851" w:type="dxa"/>
          </w:tcPr>
          <w:p w:rsidR="002F663C" w:rsidRPr="00711F9C" w:rsidP="00C14444" w14:paraId="40BD663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D06D47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8500A6B" w14:textId="77777777" w:rsidTr="00E9471B">
        <w:tblPrEx>
          <w:tblW w:w="9049" w:type="dxa"/>
          <w:tblLayout w:type="fixed"/>
          <w:tblLook w:val="04A0"/>
        </w:tblPrEx>
        <w:tc>
          <w:tcPr>
            <w:tcW w:w="851" w:type="dxa"/>
          </w:tcPr>
          <w:p w:rsidR="002F663C" w:rsidRPr="00711F9C" w:rsidP="00C14444" w14:paraId="0A56138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336CC80"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15DFC0F" w14:textId="77777777" w:rsidTr="00E9471B">
        <w:tblPrEx>
          <w:tblW w:w="9049" w:type="dxa"/>
          <w:tblLayout w:type="fixed"/>
          <w:tblLook w:val="04A0"/>
        </w:tblPrEx>
        <w:tc>
          <w:tcPr>
            <w:tcW w:w="851" w:type="dxa"/>
          </w:tcPr>
          <w:p w:rsidR="002F663C" w:rsidRPr="00711F9C" w:rsidP="00C14444" w14:paraId="01AC5C0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C53320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EB2832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93AE634" w14:textId="77777777" w:rsidTr="00E9471B">
        <w:tblPrEx>
          <w:tblW w:w="9049" w:type="dxa"/>
          <w:tblLayout w:type="fixed"/>
          <w:tblLook w:val="04A0"/>
        </w:tblPrEx>
        <w:tc>
          <w:tcPr>
            <w:tcW w:w="851" w:type="dxa"/>
          </w:tcPr>
          <w:p w:rsidR="002F663C" w:rsidRPr="00711F9C" w:rsidP="00C14444" w14:paraId="5D9B883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2C58BBC"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5F8E7866" w14:textId="77777777">
            <w:pPr>
              <w:spacing w:before="120" w:after="120"/>
              <w:rPr>
                <w:rFonts w:eastAsia="Calibri" w:cs="Times New Roman"/>
              </w:rPr>
            </w:pPr>
            <w:r>
              <w:rPr>
                <w:rFonts w:eastAsia="Calibri" w:cs="Times New Roman"/>
              </w:rPr>
              <w:t>Proposed changes to the Clinical Trials Regulations to include additional amendments related to:</w:t>
            </w:r>
          </w:p>
          <w:p w:rsidR="00082727" w:rsidP="00C14444" w14:paraId="77ADB75E" w14:textId="77777777">
            <w:pPr>
              <w:spacing w:before="120" w:after="120"/>
              <w:rPr>
                <w:rFonts w:eastAsia="Calibri" w:cs="Times New Roman"/>
              </w:rPr>
            </w:pPr>
            <w:r>
              <w:rPr>
                <w:rFonts w:eastAsia="Calibri" w:cs="Times New Roman"/>
              </w:rPr>
              <w:t>• Cells, tissues, and organs (CTOs) transplanted in clinical trials in Canada; and</w:t>
            </w:r>
          </w:p>
          <w:p w:rsidR="00082727" w:rsidP="00C14444" w14:paraId="5E609AF1" w14:textId="77777777">
            <w:pPr>
              <w:spacing w:before="120" w:after="120"/>
              <w:rPr>
                <w:rFonts w:eastAsia="Calibri" w:cs="Times New Roman"/>
              </w:rPr>
            </w:pPr>
            <w:r>
              <w:rPr>
                <w:rFonts w:eastAsia="Calibri" w:cs="Times New Roman"/>
              </w:rPr>
              <w:t>• Blood and blood components transfused in clinical trials in Canada.</w:t>
            </w:r>
          </w:p>
          <w:p w:rsidR="00082727" w:rsidP="00C14444" w14:paraId="3B24EAE4" w14:textId="77777777">
            <w:pPr>
              <w:spacing w:before="120" w:after="120"/>
              <w:rPr>
                <w:rFonts w:eastAsia="Calibri" w:cs="Times New Roman"/>
              </w:rPr>
            </w:pPr>
            <w:r>
              <w:rPr>
                <w:rFonts w:eastAsia="Calibri" w:cs="Times New Roman"/>
              </w:rPr>
              <w:t xml:space="preserve">For more information on the proposed updates, please contact </w:t>
            </w:r>
            <w:hyperlink r:id="rId7" w:history="1">
              <w:r>
                <w:rPr>
                  <w:rFonts w:eastAsia="Calibri" w:cs="Times New Roman"/>
                  <w:color w:val="0000FF"/>
                  <w:u w:val="single"/>
                </w:rPr>
                <w:t>brdd-cppic_brdd-cppci@hc-sc.gc.ca</w:t>
              </w:r>
            </w:hyperlink>
            <w:r>
              <w:rPr>
                <w:rFonts w:eastAsia="Calibri" w:cs="Times New Roman"/>
              </w:rPr>
              <w:t xml:space="preserve"> and </w:t>
            </w:r>
            <w:hyperlink r:id="rId8" w:history="1">
              <w:r>
                <w:rPr>
                  <w:rFonts w:eastAsia="Calibri" w:cs="Times New Roman"/>
                  <w:color w:val="0000FF"/>
                  <w:u w:val="single"/>
                </w:rPr>
                <w:t>enquirypoint@international.gc.ca</w:t>
              </w:r>
            </w:hyperlink>
            <w:r>
              <w:rPr>
                <w:rFonts w:eastAsia="Calibri" w:cs="Times New Roman"/>
              </w:rPr>
              <w:t>.</w:t>
            </w:r>
          </w:p>
          <w:p w:rsidR="002F663C" w:rsidRPr="002F663C" w:rsidP="00C14444" w14:paraId="1253F06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20 March 2026</w:t>
            </w:r>
          </w:p>
        </w:tc>
      </w:tr>
      <w:tr w14:paraId="67E2B0B6" w14:textId="77777777" w:rsidTr="00E9471B">
        <w:tblPrEx>
          <w:tblW w:w="9049" w:type="dxa"/>
          <w:tblLayout w:type="fixed"/>
          <w:tblLook w:val="04A0"/>
        </w:tblPrEx>
        <w:tc>
          <w:tcPr>
            <w:tcW w:w="851" w:type="dxa"/>
          </w:tcPr>
          <w:p w:rsidR="002F663C" w:rsidRPr="00711F9C" w:rsidP="00C14444" w14:paraId="239E2E9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66EE8B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C33E045" w14:textId="77777777" w:rsidTr="00E9471B">
        <w:tblPrEx>
          <w:tblW w:w="9049" w:type="dxa"/>
          <w:tblLayout w:type="fixed"/>
          <w:tblLook w:val="04A0"/>
        </w:tblPrEx>
        <w:tc>
          <w:tcPr>
            <w:tcW w:w="851" w:type="dxa"/>
            <w:tcBorders>
              <w:bottom w:val="double" w:sz="4" w:space="0" w:color="auto"/>
            </w:tcBorders>
          </w:tcPr>
          <w:p w:rsidR="002F663C" w:rsidRPr="00711F9C" w:rsidP="00C14444" w14:paraId="7EA2161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B36B11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D2FA404" w14:textId="77777777">
      <w:pPr>
        <w:jc w:val="left"/>
        <w:rPr>
          <w:rFonts w:eastAsia="Calibri" w:cs="Times New Roman"/>
          <w:highlight w:val="yellow"/>
        </w:rPr>
      </w:pPr>
    </w:p>
    <w:p w:rsidR="003971FF" w:rsidRPr="007F6EA2" w:rsidP="00B16ACF" w14:paraId="47B3E52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On December 23, 2025, proposed amendments to the </w:t>
      </w:r>
      <w:hyperlink r:id="rId9" w:history="1">
        <w:r w:rsidRPr="002F663C">
          <w:rPr>
            <w:rFonts w:eastAsia="Calibri" w:cs="Times New Roman"/>
            <w:i/>
            <w:iCs/>
            <w:color w:val="0000FF"/>
            <w:szCs w:val="18"/>
            <w:u w:val="single"/>
          </w:rPr>
          <w:t>Clinical Trials Regulations</w:t>
        </w:r>
      </w:hyperlink>
      <w:r w:rsidRPr="002F663C">
        <w:rPr>
          <w:rFonts w:eastAsia="Calibri" w:cs="Times New Roman"/>
          <w:szCs w:val="18"/>
        </w:rPr>
        <w:t xml:space="preserve"> and </w:t>
      </w:r>
      <w:hyperlink r:id="rId10" w:history="1">
        <w:r w:rsidRPr="002F663C">
          <w:rPr>
            <w:rFonts w:eastAsia="Calibri" w:cs="Times New Roman"/>
            <w:i/>
            <w:iCs/>
            <w:color w:val="0000FF"/>
            <w:szCs w:val="18"/>
            <w:u w:val="single"/>
          </w:rPr>
          <w:t>Regulations Amending Certain Regulations Relating to Clinical Trials</w:t>
        </w:r>
      </w:hyperlink>
      <w:r w:rsidRPr="002F663C">
        <w:rPr>
          <w:rFonts w:eastAsia="Calibri" w:cs="Times New Roman"/>
          <w:szCs w:val="18"/>
        </w:rPr>
        <w:t xml:space="preserve"> were notified in G/TBT/N/CAN/766. The proposed Regulations would establish a new, standalone framework under the </w:t>
      </w:r>
      <w:hyperlink r:id="rId11" w:history="1">
        <w:r w:rsidRPr="002F663C">
          <w:rPr>
            <w:rFonts w:eastAsia="Calibri" w:cs="Times New Roman"/>
            <w:i/>
            <w:iCs/>
            <w:color w:val="0000FF"/>
            <w:szCs w:val="18"/>
            <w:u w:val="single"/>
          </w:rPr>
          <w:t>Food and Drugs Act</w:t>
        </w:r>
      </w:hyperlink>
      <w:r w:rsidRPr="002F663C">
        <w:rPr>
          <w:rFonts w:eastAsia="Calibri" w:cs="Times New Roman"/>
          <w:szCs w:val="18"/>
        </w:rPr>
        <w:t xml:space="preserve"> for clinical trials involving drugs for human use. </w:t>
      </w:r>
    </w:p>
    <w:p w:rsidR="00DC6A6F" w:rsidRPr="002F663C" w:rsidP="00B16ACF" w14:paraId="5B69D4E4" w14:textId="77777777">
      <w:pPr>
        <w:spacing w:before="120" w:after="120"/>
        <w:rPr>
          <w:rFonts w:eastAsia="Calibri" w:cs="Times New Roman"/>
          <w:szCs w:val="18"/>
        </w:rPr>
      </w:pPr>
      <w:r w:rsidRPr="002F663C">
        <w:rPr>
          <w:rFonts w:eastAsia="Calibri" w:cs="Times New Roman"/>
          <w:szCs w:val="18"/>
        </w:rPr>
        <w:t>The purpose of this addendum is to consult stakeholders on proposed policy for:</w:t>
      </w:r>
    </w:p>
    <w:p w:rsidR="00DC6A6F" w:rsidRPr="002F663C" w:rsidP="00B16ACF" w14:paraId="0619079F" w14:textId="77777777">
      <w:pPr>
        <w:numPr>
          <w:ilvl w:val="0"/>
          <w:numId w:val="17"/>
        </w:numPr>
        <w:spacing w:before="120" w:after="120"/>
        <w:rPr>
          <w:rFonts w:eastAsia="Calibri" w:cs="Times New Roman"/>
          <w:szCs w:val="18"/>
        </w:rPr>
      </w:pPr>
      <w:r w:rsidRPr="002F663C">
        <w:rPr>
          <w:rFonts w:eastAsia="Calibri" w:cs="Times New Roman"/>
          <w:szCs w:val="18"/>
        </w:rPr>
        <w:t xml:space="preserve">clinical trials involving CTOs with the proposed </w:t>
      </w:r>
      <w:r w:rsidRPr="002F663C">
        <w:rPr>
          <w:rFonts w:eastAsia="Calibri" w:cs="Times New Roman"/>
          <w:i/>
          <w:iCs/>
          <w:szCs w:val="18"/>
        </w:rPr>
        <w:t>Clinical Trials Regulations</w:t>
      </w:r>
      <w:r w:rsidRPr="002F663C">
        <w:rPr>
          <w:rFonts w:eastAsia="Calibri" w:cs="Times New Roman"/>
          <w:szCs w:val="18"/>
        </w:rPr>
        <w:t>; and</w:t>
      </w:r>
    </w:p>
    <w:p w:rsidR="00DC6A6F" w:rsidRPr="002F663C" w:rsidP="00B16ACF" w14:paraId="09461B9B" w14:textId="77777777">
      <w:pPr>
        <w:numPr>
          <w:ilvl w:val="0"/>
          <w:numId w:val="17"/>
        </w:numPr>
        <w:spacing w:before="120" w:after="120"/>
        <w:rPr>
          <w:rFonts w:eastAsia="Calibri" w:cs="Times New Roman"/>
          <w:szCs w:val="18"/>
        </w:rPr>
      </w:pPr>
      <w:r w:rsidRPr="002F663C">
        <w:rPr>
          <w:rFonts w:eastAsia="Calibri" w:cs="Times New Roman"/>
          <w:szCs w:val="18"/>
        </w:rPr>
        <w:t xml:space="preserve">clinical trials involving blood and blood components (herein referred to as blood) with the proposed </w:t>
      </w:r>
      <w:r w:rsidRPr="002F663C">
        <w:rPr>
          <w:rFonts w:eastAsia="Calibri" w:cs="Times New Roman"/>
          <w:i/>
          <w:iCs/>
          <w:szCs w:val="18"/>
        </w:rPr>
        <w:t>Clinical Trials Regulations</w:t>
      </w:r>
      <w:r w:rsidRPr="002F663C">
        <w:rPr>
          <w:rFonts w:eastAsia="Calibri" w:cs="Times New Roman"/>
          <w:szCs w:val="18"/>
        </w:rPr>
        <w:t>.</w:t>
      </w:r>
    </w:p>
    <w:p w:rsidR="00DC6A6F" w:rsidRPr="002F663C" w:rsidP="00B16ACF" w14:paraId="619DCFAA" w14:textId="77777777">
      <w:pPr>
        <w:spacing w:before="120" w:after="120"/>
        <w:rPr>
          <w:rFonts w:eastAsia="Calibri" w:cs="Times New Roman"/>
          <w:szCs w:val="18"/>
        </w:rPr>
      </w:pPr>
      <w:r w:rsidRPr="002F663C">
        <w:rPr>
          <w:rFonts w:eastAsia="Calibri" w:cs="Times New Roman"/>
          <w:szCs w:val="18"/>
        </w:rPr>
        <w:t>Clinical trials involving CTOs</w:t>
      </w:r>
    </w:p>
    <w:p w:rsidR="00DC6A6F" w:rsidRPr="002F663C" w:rsidP="00B16ACF" w14:paraId="7E349C19" w14:textId="77777777">
      <w:pPr>
        <w:spacing w:before="120" w:after="120"/>
        <w:rPr>
          <w:rFonts w:eastAsia="Calibri" w:cs="Times New Roman"/>
          <w:szCs w:val="18"/>
        </w:rPr>
      </w:pPr>
      <w:r w:rsidRPr="002F663C">
        <w:rPr>
          <w:rFonts w:eastAsia="Calibri" w:cs="Times New Roman"/>
          <w:szCs w:val="18"/>
        </w:rPr>
        <w:t xml:space="preserve">CTOs are typically regulated under the </w:t>
      </w:r>
      <w:r w:rsidRPr="002F663C">
        <w:rPr>
          <w:rFonts w:eastAsia="Calibri" w:cs="Times New Roman"/>
          <w:i/>
          <w:iCs/>
          <w:szCs w:val="18"/>
        </w:rPr>
        <w:t>Safety of Human Cells, Tissues, and Organs Regulations</w:t>
      </w:r>
      <w:r w:rsidRPr="002F663C">
        <w:rPr>
          <w:rFonts w:eastAsia="Calibri" w:cs="Times New Roman"/>
          <w:szCs w:val="18"/>
        </w:rPr>
        <w:t xml:space="preserve"> (CTOR). The CTOR provides a framework designed to minimize potential health risks by establishing safety requirements for the processing and handling of CTOs that are transplanted under standard medical practice. However, when CTOs are used as investigational products in a clinical trial, they are subject to Canada's clinical trial regulations instead.</w:t>
      </w:r>
    </w:p>
    <w:p w:rsidR="00DC6A6F" w:rsidRPr="002F663C" w:rsidP="00B16ACF" w14:paraId="43556823" w14:textId="77777777">
      <w:pPr>
        <w:spacing w:before="120" w:after="120"/>
        <w:rPr>
          <w:rFonts w:eastAsia="Calibri" w:cs="Times New Roman"/>
          <w:szCs w:val="18"/>
        </w:rPr>
      </w:pPr>
      <w:r w:rsidRPr="002F663C">
        <w:rPr>
          <w:rFonts w:eastAsia="Calibri" w:cs="Times New Roman"/>
          <w:szCs w:val="18"/>
        </w:rPr>
        <w:t xml:space="preserve">Health Canada is proposing an exemption from the requirement to hold a clinical trial authorization under the proposed </w:t>
      </w:r>
      <w:r w:rsidRPr="002F663C">
        <w:rPr>
          <w:rFonts w:eastAsia="Calibri" w:cs="Times New Roman"/>
          <w:i/>
          <w:iCs/>
          <w:szCs w:val="18"/>
        </w:rPr>
        <w:t>Clinical Trial Regulations</w:t>
      </w:r>
      <w:r w:rsidRPr="002F663C">
        <w:rPr>
          <w:rFonts w:eastAsia="Calibri" w:cs="Times New Roman"/>
          <w:szCs w:val="18"/>
        </w:rPr>
        <w:t xml:space="preserve"> for low-risk trials in which the cell, tissue or organ that is being investigated is minimally manipulated and is used for the same basic function in the recipient as in the donor (i.e. homologous use), provided no other drugs are being used in the trial for a purpose or condition of use for which a notice of compliance was not issued and one of the following conditions are met:</w:t>
      </w:r>
    </w:p>
    <w:p w:rsidR="00DC6A6F" w:rsidRPr="002F663C" w:rsidP="00B16ACF" w14:paraId="3E88E6B3" w14:textId="77777777">
      <w:pPr>
        <w:numPr>
          <w:ilvl w:val="0"/>
          <w:numId w:val="18"/>
        </w:numPr>
        <w:spacing w:before="120" w:after="120"/>
        <w:rPr>
          <w:rFonts w:eastAsia="Calibri" w:cs="Times New Roman"/>
          <w:szCs w:val="18"/>
        </w:rPr>
      </w:pPr>
      <w:r w:rsidRPr="002F663C">
        <w:rPr>
          <w:rFonts w:eastAsia="Calibri" w:cs="Times New Roman"/>
          <w:szCs w:val="18"/>
        </w:rPr>
        <w:t>The cell, tissue or organ is retrieved from someone (donor) other than the clinical trial participant/recipient (i.e. allogeneic) and is processed in accordance with the CTOR by a registered source establishment; or</w:t>
      </w:r>
    </w:p>
    <w:p w:rsidR="00DC6A6F" w:rsidRPr="002F663C" w:rsidP="00B16ACF" w14:paraId="25072EA8" w14:textId="77777777">
      <w:pPr>
        <w:numPr>
          <w:ilvl w:val="0"/>
          <w:numId w:val="18"/>
        </w:numPr>
        <w:spacing w:before="120" w:after="120"/>
        <w:rPr>
          <w:rFonts w:eastAsia="Calibri" w:cs="Times New Roman"/>
          <w:szCs w:val="18"/>
        </w:rPr>
      </w:pPr>
      <w:r w:rsidRPr="002F663C">
        <w:rPr>
          <w:rFonts w:eastAsia="Calibri" w:cs="Times New Roman"/>
          <w:szCs w:val="18"/>
        </w:rPr>
        <w:t>the cell, tissue or organ is retrieved from the clinical trial participant/recipient (i.e. autologous donation) and would fall under the scope of the CTOR had it been allogeneic and transplanted under standard medical practice.</w:t>
      </w:r>
    </w:p>
    <w:p w:rsidR="00DC6A6F" w:rsidRPr="002F663C" w:rsidP="00B16ACF" w14:paraId="1F959D67" w14:textId="77777777">
      <w:pPr>
        <w:spacing w:before="120" w:after="120"/>
        <w:rPr>
          <w:rFonts w:eastAsia="Calibri" w:cs="Times New Roman"/>
          <w:szCs w:val="18"/>
        </w:rPr>
      </w:pPr>
      <w:r w:rsidRPr="002F663C">
        <w:rPr>
          <w:rFonts w:eastAsia="Calibri" w:cs="Times New Roman"/>
          <w:szCs w:val="18"/>
        </w:rPr>
        <w:t xml:space="preserve">CTOs intended to perform a different function (i.e. non-homologous use) in the clinical trial participant/recipient than in the donor, would not be eligible for an exemption from the requirement to hold a clinical trial authorization. In addition, CTOs that are not the subject of investigation in the clinical trial would be exempt from the requirements of the </w:t>
      </w:r>
      <w:r w:rsidRPr="002F663C">
        <w:rPr>
          <w:rFonts w:eastAsia="Calibri" w:cs="Times New Roman"/>
          <w:i/>
          <w:iCs/>
          <w:szCs w:val="18"/>
        </w:rPr>
        <w:t>Clinical Trials Regulations</w:t>
      </w:r>
      <w:r w:rsidRPr="002F663C">
        <w:rPr>
          <w:rFonts w:eastAsia="Calibri" w:cs="Times New Roman"/>
          <w:szCs w:val="18"/>
        </w:rPr>
        <w:t>.</w:t>
      </w:r>
    </w:p>
    <w:p w:rsidR="00DC6A6F" w:rsidRPr="002F663C" w:rsidP="00B16ACF" w14:paraId="49C43F00" w14:textId="77777777">
      <w:pPr>
        <w:spacing w:before="120" w:after="120"/>
        <w:rPr>
          <w:rFonts w:eastAsia="Calibri" w:cs="Times New Roman"/>
          <w:szCs w:val="18"/>
        </w:rPr>
      </w:pPr>
      <w:r w:rsidRPr="002F663C">
        <w:rPr>
          <w:rFonts w:eastAsia="Calibri" w:cs="Times New Roman"/>
          <w:szCs w:val="18"/>
        </w:rPr>
        <w:t>Health Canada is also proposing to provide regulatory certainty to stakeholders by aligning the quality requirements for CTOs used in clinical trials with existing requirements in the CTOR. These requirements are intended to be outcome-based, allowing stakeholders the flexibility to comply in a manner that aligns with their operational capacity.</w:t>
      </w:r>
    </w:p>
    <w:p w:rsidR="00DC6A6F" w:rsidRPr="002F663C" w:rsidP="00B16ACF" w14:paraId="08B1C0E4" w14:textId="77777777">
      <w:pPr>
        <w:spacing w:before="120" w:after="120"/>
        <w:rPr>
          <w:rFonts w:eastAsia="Calibri" w:cs="Times New Roman"/>
          <w:szCs w:val="18"/>
        </w:rPr>
      </w:pPr>
      <w:r w:rsidRPr="002F663C">
        <w:rPr>
          <w:rFonts w:eastAsia="Calibri" w:cs="Times New Roman"/>
          <w:szCs w:val="18"/>
        </w:rPr>
        <w:t>Clinical trials involving blood</w:t>
      </w:r>
    </w:p>
    <w:p w:rsidR="00DC6A6F" w:rsidRPr="002F663C" w:rsidP="00B16ACF" w14:paraId="26418ECC" w14:textId="77777777">
      <w:pPr>
        <w:spacing w:before="120" w:after="120"/>
        <w:rPr>
          <w:rFonts w:eastAsia="Calibri" w:cs="Times New Roman"/>
          <w:szCs w:val="18"/>
        </w:rPr>
      </w:pPr>
      <w:r w:rsidRPr="002F663C">
        <w:rPr>
          <w:rFonts w:eastAsia="Calibri" w:cs="Times New Roman"/>
          <w:szCs w:val="18"/>
        </w:rPr>
        <w:t xml:space="preserve">Blood is typically regulated under the </w:t>
      </w:r>
      <w:r w:rsidRPr="002F663C">
        <w:rPr>
          <w:rFonts w:eastAsia="Calibri" w:cs="Times New Roman"/>
          <w:i/>
          <w:iCs/>
          <w:szCs w:val="18"/>
        </w:rPr>
        <w:t>Blood Regulations</w:t>
      </w:r>
      <w:r w:rsidRPr="002F663C">
        <w:rPr>
          <w:rFonts w:eastAsia="Calibri" w:cs="Times New Roman"/>
          <w:szCs w:val="18"/>
        </w:rPr>
        <w:t>. The current blood framework is designed to safeguard Canadian blood recipients by ensuring the safety of blood used for transfusion or for further manufacturing into drugs for human use. However, when blood is used as an investigational product in a clinical trial it is subject to Canada's clinical trial regulations instead.</w:t>
      </w:r>
    </w:p>
    <w:p w:rsidR="00DC6A6F" w:rsidRPr="002F663C" w:rsidP="00B16ACF" w14:paraId="3C0FE2C7" w14:textId="77777777">
      <w:pPr>
        <w:spacing w:before="120" w:after="120"/>
        <w:rPr>
          <w:rFonts w:eastAsia="Calibri" w:cs="Times New Roman"/>
          <w:szCs w:val="18"/>
        </w:rPr>
      </w:pPr>
      <w:r w:rsidRPr="002F663C">
        <w:rPr>
          <w:rFonts w:eastAsia="Calibri" w:cs="Times New Roman"/>
          <w:szCs w:val="18"/>
        </w:rPr>
        <w:t xml:space="preserve">Health Canada is proposing an exemption from the requirement to hold a clinical trial authorization under the proposed </w:t>
      </w:r>
      <w:r w:rsidRPr="002F663C">
        <w:rPr>
          <w:rFonts w:eastAsia="Calibri" w:cs="Times New Roman"/>
          <w:i/>
          <w:iCs/>
          <w:szCs w:val="18"/>
        </w:rPr>
        <w:t>Clinical Trial Regulations</w:t>
      </w:r>
      <w:r w:rsidRPr="002F663C">
        <w:rPr>
          <w:rFonts w:eastAsia="Calibri" w:cs="Times New Roman"/>
          <w:szCs w:val="18"/>
        </w:rPr>
        <w:t xml:space="preserve"> for low-risk clinical trials where blood is the subject of the investigation and no other drugs are being used in the trial for a purpose or condition of use for which a notice of compliance was not issued, in the following circumstances:</w:t>
      </w:r>
    </w:p>
    <w:p w:rsidR="00DC6A6F" w:rsidRPr="002F663C" w:rsidP="00B16ACF" w14:paraId="487BCEC0" w14:textId="77777777">
      <w:pPr>
        <w:numPr>
          <w:ilvl w:val="0"/>
          <w:numId w:val="19"/>
        </w:numPr>
        <w:spacing w:before="120" w:after="120"/>
        <w:rPr>
          <w:rFonts w:eastAsia="Calibri" w:cs="Times New Roman"/>
          <w:szCs w:val="18"/>
        </w:rPr>
      </w:pPr>
      <w:r w:rsidRPr="002F663C">
        <w:rPr>
          <w:rFonts w:eastAsia="Calibri" w:cs="Times New Roman"/>
          <w:szCs w:val="18"/>
        </w:rPr>
        <w:t xml:space="preserve">In the case of allogeneic blood, the blood has been processed by a licenced establishment in accordance with an authorization and determined safe for distribution under the </w:t>
      </w:r>
      <w:r w:rsidRPr="002F663C">
        <w:rPr>
          <w:rFonts w:eastAsia="Calibri" w:cs="Times New Roman"/>
          <w:i/>
          <w:iCs/>
          <w:szCs w:val="18"/>
        </w:rPr>
        <w:t>Blood Regulations</w:t>
      </w:r>
      <w:r w:rsidRPr="002F663C">
        <w:rPr>
          <w:rFonts w:eastAsia="Calibri" w:cs="Times New Roman"/>
          <w:szCs w:val="18"/>
        </w:rPr>
        <w:t>; or</w:t>
      </w:r>
    </w:p>
    <w:p w:rsidR="00DC6A6F" w:rsidRPr="002F663C" w:rsidP="00B16ACF" w14:paraId="50B76926" w14:textId="77777777">
      <w:pPr>
        <w:numPr>
          <w:ilvl w:val="0"/>
          <w:numId w:val="19"/>
        </w:numPr>
        <w:spacing w:before="120" w:after="120"/>
        <w:rPr>
          <w:rFonts w:eastAsia="Calibri" w:cs="Times New Roman"/>
          <w:szCs w:val="18"/>
        </w:rPr>
      </w:pPr>
      <w:r w:rsidRPr="002F663C">
        <w:rPr>
          <w:rFonts w:eastAsia="Calibri" w:cs="Times New Roman"/>
          <w:szCs w:val="18"/>
        </w:rPr>
        <w:t xml:space="preserve">In the case of autologous blood, the blood has been processed by a registered establishment and determined safe for autologous transfusion in accordance with the </w:t>
      </w:r>
      <w:r w:rsidRPr="002F663C">
        <w:rPr>
          <w:rFonts w:eastAsia="Calibri" w:cs="Times New Roman"/>
          <w:i/>
          <w:iCs/>
          <w:szCs w:val="18"/>
        </w:rPr>
        <w:t>Blood Regulations</w:t>
      </w:r>
      <w:r w:rsidRPr="002F663C">
        <w:rPr>
          <w:rFonts w:eastAsia="Calibri" w:cs="Times New Roman"/>
          <w:szCs w:val="18"/>
        </w:rPr>
        <w:t>.</w:t>
      </w:r>
    </w:p>
    <w:p w:rsidR="00DC6A6F" w:rsidRPr="002F663C" w:rsidP="00B16ACF" w14:paraId="2749C8FF" w14:textId="77777777">
      <w:pPr>
        <w:spacing w:before="120" w:after="120"/>
        <w:rPr>
          <w:rFonts w:eastAsia="Calibri" w:cs="Times New Roman"/>
          <w:szCs w:val="18"/>
        </w:rPr>
      </w:pPr>
      <w:r w:rsidRPr="002F663C">
        <w:rPr>
          <w:rFonts w:eastAsia="Calibri" w:cs="Times New Roman"/>
          <w:szCs w:val="18"/>
        </w:rPr>
        <w:t xml:space="preserve">In addition, blood that is not the subject of investigation in a clinical trial would be exempt from the requirements of the </w:t>
      </w:r>
      <w:r w:rsidRPr="002F663C">
        <w:rPr>
          <w:rFonts w:eastAsia="Calibri" w:cs="Times New Roman"/>
          <w:i/>
          <w:iCs/>
          <w:szCs w:val="18"/>
        </w:rPr>
        <w:t>Clinical Trials Regulations</w:t>
      </w:r>
      <w:r w:rsidRPr="002F663C">
        <w:rPr>
          <w:rFonts w:eastAsia="Calibri" w:cs="Times New Roman"/>
          <w:szCs w:val="18"/>
        </w:rPr>
        <w:t>.</w:t>
      </w:r>
    </w:p>
    <w:p w:rsidR="00DC6A6F" w:rsidRPr="002F663C" w:rsidP="00B16ACF" w14:paraId="54B0B195" w14:textId="77777777">
      <w:pPr>
        <w:spacing w:before="120" w:after="120"/>
        <w:rPr>
          <w:rFonts w:eastAsia="Calibri" w:cs="Times New Roman"/>
          <w:szCs w:val="18"/>
        </w:rPr>
      </w:pPr>
      <w:r w:rsidRPr="002F663C">
        <w:rPr>
          <w:rFonts w:eastAsia="Calibri" w:cs="Times New Roman"/>
          <w:szCs w:val="18"/>
        </w:rPr>
        <w:t xml:space="preserve">Health Canada is also proposing to provide regulatory certainty to stakeholders by aligning the quality requirements for blood used in clinical trials, with requirements in the </w:t>
      </w:r>
      <w:r w:rsidRPr="002F663C">
        <w:rPr>
          <w:rFonts w:eastAsia="Calibri" w:cs="Times New Roman"/>
          <w:i/>
          <w:iCs/>
          <w:szCs w:val="18"/>
        </w:rPr>
        <w:t>Blood Regulations</w:t>
      </w:r>
      <w:r w:rsidRPr="002F663C">
        <w:rPr>
          <w:rFonts w:eastAsia="Calibri" w:cs="Times New Roman"/>
          <w:szCs w:val="18"/>
        </w:rPr>
        <w:t>. These requirements are intended to be outcome-based, allowing stakeholders the flexibility to meet quality expectations in a manner that aligns with their operational capacity.</w:t>
      </w:r>
    </w:p>
    <w:p w:rsidR="00DC6A6F" w:rsidRPr="002F663C" w:rsidP="00B16ACF" w14:paraId="19997DE5" w14:textId="77777777">
      <w:pPr>
        <w:spacing w:before="120" w:after="120"/>
        <w:rPr>
          <w:rFonts w:eastAsia="Calibri" w:cs="Times New Roman"/>
          <w:szCs w:val="18"/>
        </w:rPr>
      </w:pPr>
      <w:r w:rsidRPr="002F663C">
        <w:rPr>
          <w:rFonts w:eastAsia="Calibri" w:cs="Times New Roman"/>
          <w:szCs w:val="18"/>
        </w:rPr>
        <w:t xml:space="preserve">For more information on the proposed updates to the </w:t>
      </w:r>
      <w:r w:rsidRPr="002F663C">
        <w:rPr>
          <w:rFonts w:eastAsia="Calibri" w:cs="Times New Roman"/>
          <w:i/>
          <w:iCs/>
          <w:szCs w:val="18"/>
        </w:rPr>
        <w:t>Clinical Trials Regulations</w:t>
      </w:r>
      <w:r w:rsidRPr="002F663C">
        <w:rPr>
          <w:rFonts w:eastAsia="Calibri" w:cs="Times New Roman"/>
          <w:szCs w:val="18"/>
        </w:rPr>
        <w:t xml:space="preserve"> for trials that involve blood or CTOs, please contact </w:t>
      </w:r>
      <w:hyperlink r:id="rId7" w:history="1">
        <w:r w:rsidRPr="002F663C">
          <w:rPr>
            <w:rFonts w:eastAsia="Calibri" w:cs="Times New Roman"/>
            <w:color w:val="0000FF"/>
            <w:szCs w:val="18"/>
            <w:u w:val="single"/>
          </w:rPr>
          <w:t>brdd-cppic_brdd-cppci@hc-sc.gc.ca</w:t>
        </w:r>
      </w:hyperlink>
      <w:r w:rsidRPr="002F663C">
        <w:rPr>
          <w:rFonts w:eastAsia="Calibri" w:cs="Times New Roman"/>
          <w:szCs w:val="18"/>
        </w:rPr>
        <w:t xml:space="preserve"> and </w:t>
      </w:r>
      <w:hyperlink r:id="rId8" w:history="1">
        <w:r w:rsidRPr="002F663C">
          <w:rPr>
            <w:rFonts w:eastAsia="Calibri" w:cs="Times New Roman"/>
            <w:color w:val="0000FF"/>
            <w:szCs w:val="18"/>
            <w:u w:val="single"/>
          </w:rPr>
          <w:t>enquirypoint@international.gc.ca</w:t>
        </w:r>
      </w:hyperlink>
      <w:r w:rsidRPr="002F663C">
        <w:rPr>
          <w:rFonts w:eastAsia="Calibri" w:cs="Times New Roman"/>
          <w:szCs w:val="18"/>
        </w:rPr>
        <w:t>.</w:t>
      </w:r>
    </w:p>
    <w:p w:rsidR="00A1565D" w:rsidP="003971FF" w14:paraId="307F68B9" w14:textId="77777777">
      <w:pPr>
        <w:jc w:val="center"/>
        <w:rPr>
          <w:b/>
        </w:rPr>
      </w:pPr>
      <w:r w:rsidRPr="003971FF">
        <w:rPr>
          <w:b/>
        </w:rPr>
        <w:t>__________</w:t>
      </w:r>
    </w:p>
    <w:sectPr w:rsidSect="006C5A96">
      <w:headerReference w:type="even" r:id="rId12"/>
      <w:headerReference w:type="default" r:id="rId13"/>
      <w:footerReference w:type="even" r:id="rId14"/>
      <w:footerReference w:type="default" r:id="rId15"/>
      <w:head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FF9C30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2C6A82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49C4A8E" w14:textId="77777777">
      <w:r>
        <w:separator/>
      </w:r>
    </w:p>
  </w:footnote>
  <w:footnote w:type="continuationSeparator" w:id="1">
    <w:p w:rsidR="004D3A6A" w:rsidP="00ED54E0" w14:paraId="22BAD07E" w14:textId="77777777">
      <w:r>
        <w:continuationSeparator/>
      </w:r>
    </w:p>
  </w:footnote>
  <w:footnote w:id="2">
    <w:p w:rsidR="007F6EA2" w14:paraId="13DB8F7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88DE5E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6BA3E50" w14:textId="77777777">
    <w:pPr>
      <w:pStyle w:val="Header"/>
      <w:pBdr>
        <w:bottom w:val="single" w:sz="4" w:space="1" w:color="auto"/>
      </w:pBdr>
      <w:tabs>
        <w:tab w:val="clear" w:pos="4513"/>
        <w:tab w:val="clear" w:pos="9027"/>
      </w:tabs>
      <w:jc w:val="center"/>
    </w:pPr>
  </w:p>
  <w:p w:rsidR="00DD3DD7" w:rsidRPr="00DD3DD7" w:rsidP="00DD3DD7" w14:paraId="61F56A1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EF3C4E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9AF11B1" w14:textId="77777777">
    <w:pPr>
      <w:pStyle w:val="Header"/>
      <w:pBdr>
        <w:bottom w:val="single" w:sz="4" w:space="1" w:color="auto"/>
      </w:pBdr>
      <w:tabs>
        <w:tab w:val="clear" w:pos="4513"/>
        <w:tab w:val="clear" w:pos="9027"/>
      </w:tabs>
      <w:jc w:val="center"/>
    </w:pPr>
    <w:bookmarkStart w:id="3" w:name="spsSymbolHeader"/>
    <w:r w:rsidRPr="00DD3DD7">
      <w:t>G/TBT/N/CAN/766/Add.1</w:t>
    </w:r>
    <w:bookmarkEnd w:id="3"/>
  </w:p>
  <w:p w:rsidR="00DD3DD7" w:rsidRPr="00DD3DD7" w:rsidP="00DD3DD7" w14:paraId="1C467970" w14:textId="77777777">
    <w:pPr>
      <w:pStyle w:val="Header"/>
      <w:pBdr>
        <w:bottom w:val="single" w:sz="4" w:space="1" w:color="auto"/>
      </w:pBdr>
      <w:tabs>
        <w:tab w:val="clear" w:pos="4513"/>
        <w:tab w:val="clear" w:pos="9027"/>
      </w:tabs>
      <w:jc w:val="center"/>
    </w:pPr>
  </w:p>
  <w:p w:rsidR="00DD3DD7" w:rsidRPr="00DD3DD7" w:rsidP="00DD3DD7" w14:paraId="56AD71C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6F228E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2BE9F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393D33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91B8E38" w14:textId="77777777">
          <w:pPr>
            <w:jc w:val="right"/>
            <w:rPr>
              <w:b/>
              <w:color w:val="FF0000"/>
              <w:szCs w:val="16"/>
            </w:rPr>
          </w:pPr>
          <w:r>
            <w:rPr>
              <w:b/>
              <w:color w:val="FF0000"/>
              <w:szCs w:val="16"/>
            </w:rPr>
            <w:t xml:space="preserve"> </w:t>
          </w:r>
        </w:p>
      </w:tc>
    </w:tr>
    <w:tr w14:paraId="3CD6177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CBC5B4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105F6B3" w14:textId="77777777">
          <w:pPr>
            <w:jc w:val="right"/>
            <w:rPr>
              <w:b/>
              <w:szCs w:val="16"/>
            </w:rPr>
          </w:pPr>
        </w:p>
      </w:tc>
    </w:tr>
    <w:tr w14:paraId="5DC2B5E0"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C4EA297"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FC078CF" w14:textId="77777777">
          <w:pPr>
            <w:jc w:val="right"/>
            <w:rPr>
              <w:rFonts w:eastAsia="Calibri" w:cs="Times New Roman"/>
              <w:b/>
              <w:szCs w:val="16"/>
            </w:rPr>
          </w:pPr>
          <w:bookmarkStart w:id="4" w:name="bmkSymbols"/>
          <w:r w:rsidRPr="002F663C">
            <w:rPr>
              <w:rFonts w:eastAsia="Calibri" w:cs="Times New Roman"/>
              <w:b/>
              <w:szCs w:val="16"/>
            </w:rPr>
            <w:t>G/TBT/N/CAN/766/Add.1</w:t>
          </w:r>
          <w:bookmarkEnd w:id="4"/>
        </w:p>
        <w:p w:rsidR="00C14444" w:rsidRPr="00C14444" w:rsidP="00C14444" w14:paraId="45E78413" w14:textId="77777777">
          <w:pPr>
            <w:jc w:val="center"/>
            <w:rPr>
              <w:szCs w:val="16"/>
            </w:rPr>
          </w:pPr>
        </w:p>
      </w:tc>
    </w:tr>
    <w:tr w14:paraId="2E10364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1C83E93" w14:textId="77777777"/>
      </w:tc>
      <w:tc>
        <w:tcPr>
          <w:tcW w:w="5448" w:type="dxa"/>
          <w:gridSpan w:val="2"/>
          <w:shd w:val="clear" w:color="auto" w:fill="FFFFFF"/>
          <w:tcMar>
            <w:left w:w="108" w:type="dxa"/>
            <w:right w:w="108" w:type="dxa"/>
          </w:tcMar>
          <w:vAlign w:val="center"/>
        </w:tcPr>
        <w:p w:rsidR="00ED54E0" w:rsidRPr="00182B84" w:rsidP="00425DC5" w14:paraId="4A154BF8" w14:textId="77777777">
          <w:pPr>
            <w:jc w:val="right"/>
            <w:rPr>
              <w:szCs w:val="16"/>
            </w:rPr>
          </w:pPr>
          <w:bookmarkStart w:id="5" w:name="bmkDate"/>
          <w:r w:rsidRPr="00182B84">
            <w:rPr>
              <w:szCs w:val="16"/>
            </w:rPr>
            <w:t>2 February 2026</w:t>
          </w:r>
          <w:bookmarkEnd w:id="5"/>
        </w:p>
      </w:tc>
    </w:tr>
    <w:tr w14:paraId="2265500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EFED25A" w14:textId="77777777">
          <w:pPr>
            <w:jc w:val="left"/>
            <w:rPr>
              <w:b/>
            </w:rPr>
          </w:pPr>
          <w:bookmarkStart w:id="6" w:name="bmkSerial"/>
          <w:r>
            <w:rPr>
              <w:rFonts w:ascii="Verdana" w:eastAsia="Verdana" w:hAnsi="Verdana" w:cs="Verdana"/>
              <w:b w:val="0"/>
              <w:color w:val="FF0000"/>
              <w:sz w:val="18"/>
            </w:rPr>
            <w:t>(26-0695)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0D8A60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B43E77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3BAEF7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5814514" w14:textId="3D6E7FE4">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r>
            <w:rPr>
              <w:rFonts w:eastAsia="Calibri" w:cs="Times New Roman"/>
              <w:bCs/>
              <w:szCs w:val="18"/>
            </w:rPr>
            <w:t>/</w:t>
          </w:r>
          <w:r w:rsidRPr="002F663C">
            <w:rPr>
              <w:rFonts w:eastAsia="Calibri" w:cs="Times New Roman"/>
              <w:bCs/>
              <w:szCs w:val="18"/>
            </w:rPr>
            <w:t>French</w:t>
          </w:r>
          <w:bookmarkEnd w:id="7"/>
        </w:p>
      </w:tc>
    </w:tr>
  </w:tbl>
  <w:p w:rsidR="00ED54E0" w:rsidP="00DD3DD7" w14:paraId="571444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36163676">
    <w:abstractNumId w:val="9"/>
  </w:num>
  <w:num w:numId="2" w16cid:durableId="641547266">
    <w:abstractNumId w:val="7"/>
  </w:num>
  <w:num w:numId="3" w16cid:durableId="499543159">
    <w:abstractNumId w:val="6"/>
  </w:num>
  <w:num w:numId="4" w16cid:durableId="1884442560">
    <w:abstractNumId w:val="5"/>
  </w:num>
  <w:num w:numId="5" w16cid:durableId="1848128901">
    <w:abstractNumId w:val="4"/>
  </w:num>
  <w:num w:numId="6" w16cid:durableId="1824616827">
    <w:abstractNumId w:val="12"/>
  </w:num>
  <w:num w:numId="7" w16cid:durableId="1336491445">
    <w:abstractNumId w:val="11"/>
  </w:num>
  <w:num w:numId="8" w16cid:durableId="1043865950">
    <w:abstractNumId w:val="10"/>
  </w:num>
  <w:num w:numId="9" w16cid:durableId="11248825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5072155">
    <w:abstractNumId w:val="13"/>
  </w:num>
  <w:num w:numId="11" w16cid:durableId="901135104">
    <w:abstractNumId w:val="8"/>
  </w:num>
  <w:num w:numId="12" w16cid:durableId="591478186">
    <w:abstractNumId w:val="3"/>
  </w:num>
  <w:num w:numId="13" w16cid:durableId="807284567">
    <w:abstractNumId w:val="2"/>
  </w:num>
  <w:num w:numId="14" w16cid:durableId="560869865">
    <w:abstractNumId w:val="1"/>
  </w:num>
  <w:num w:numId="15" w16cid:durableId="992682902">
    <w:abstractNumId w:val="0"/>
  </w:num>
  <w:num w:numId="16" w16cid:durableId="174918369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608848448">
    <w:abstractNumId w:val="14"/>
  </w:num>
  <w:num w:numId="18" w16cid:durableId="79060246">
    <w:abstractNumId w:val="15"/>
  </w:num>
  <w:num w:numId="19" w16cid:durableId="12480734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019D8"/>
    <w:rsid w:val="00223DA8"/>
    <w:rsid w:val="00233408"/>
    <w:rsid w:val="00265A0E"/>
    <w:rsid w:val="0027067B"/>
    <w:rsid w:val="00281997"/>
    <w:rsid w:val="002B2435"/>
    <w:rsid w:val="002B2F95"/>
    <w:rsid w:val="002D78C9"/>
    <w:rsid w:val="002F663C"/>
    <w:rsid w:val="00304F14"/>
    <w:rsid w:val="003156C6"/>
    <w:rsid w:val="00327D40"/>
    <w:rsid w:val="00335575"/>
    <w:rsid w:val="003405FB"/>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65D31"/>
    <w:rsid w:val="00BB1341"/>
    <w:rsid w:val="00BB1F84"/>
    <w:rsid w:val="00BB5622"/>
    <w:rsid w:val="00BD269D"/>
    <w:rsid w:val="00BE5468"/>
    <w:rsid w:val="00BF067B"/>
    <w:rsid w:val="00BF507F"/>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B6FAF"/>
    <w:rsid w:val="00DC1434"/>
    <w:rsid w:val="00DC6A6F"/>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535E"/>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287FC05"/>
  <w15:docId w15:val="{D38AA33E-0200-4595-BE12-BD45753C4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can01.safelinks.protection.outlook.com/?url=https%3A%2F%2Fgazette.gc.ca%2Frp-pr%2Fp1%2F2025%2F2025-12-20%2Fhtml%2Freg3-eng.html&amp;data=05%7C02%7Cevan.byers%40hc-sc.gc.ca%7Cd3e6e29040064d5462e708de3f351f70%7C42fd9015de4d4223a368baeacab48927%7C0%7C0%7C639017694569575119%7CUnknown%7CTWFpbGZsb3d8eyJFbXB0eU1hcGkiOnRydWUsIlYiOiIwLjAuMDAwMCIsIlAiOiJXaW4zMiIsIkFOIjoiTWFpbCIsIldUIjoyfQ%3D%3D%7C0%7C%7C%7C&amp;sdata=zQI2KVmB%2Fl6dKcmZBPVCmJd5eyzpfjeJ2QlZIoRlqsg%3D&amp;reserved=0" TargetMode="External" /><Relationship Id="rId11" Type="http://schemas.openxmlformats.org/officeDocument/2006/relationships/hyperlink" Target="https://laws-lois.justice.gc.ca/eng/acts/f-27/"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mailto:brdd-cppic_brdd-cppci@hc-sc.gc.ca" TargetMode="External" /><Relationship Id="rId8" Type="http://schemas.openxmlformats.org/officeDocument/2006/relationships/hyperlink" Target="mailto:enquirypoint@international.gc.ca" TargetMode="External" /><Relationship Id="rId9" Type="http://schemas.openxmlformats.org/officeDocument/2006/relationships/hyperlink" Target="https://can01.safelinks.protection.outlook.com/?url=https%3A%2F%2Fgazette.gc.ca%2Frp-pr%2Fp1%2F2025%2F2025-12-20%2Fhtml%2Freg2-eng.html&amp;data=05%7C02%7Cevan.byers%40hc-sc.gc.ca%7Cd3e6e29040064d5462e708de3f351f70%7C42fd9015de4d4223a368baeacab48927%7C0%7C0%7C639017694569555140%7CUnknown%7CTWFpbGZsb3d8eyJFbXB0eU1hcGkiOnRydWUsIlYiOiIwLjAuMDAwMCIsIlAiOiJXaW4zMiIsIkFOIjoiTWFpbCIsIldUIjoyfQ%3D%3D%7C0%7C%7C%7C&amp;sdata=G1%2BTqNH0XxUS6poH%2FMsh2sg5rE%2Fj686kMJPzzMenDWs%3D&amp;reserved=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C1A1461-9C77-404D-8E6F-DA57E704754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2026-02-02T08:23:00Z</dcterms:created>
  <dcterms:modified xsi:type="dcterms:W3CDTF">2026-02-02T08:43:00Z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