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9F5C90" w14:textId="77777777">
      <w:pPr>
        <w:pStyle w:val="Title"/>
        <w:rPr>
          <w:caps w:val="0"/>
          <w:kern w:val="0"/>
        </w:rPr>
      </w:pPr>
      <w:r w:rsidRPr="002F6A28">
        <w:rPr>
          <w:caps w:val="0"/>
          <w:kern w:val="0"/>
        </w:rPr>
        <w:t>NOTIFICATION</w:t>
      </w:r>
    </w:p>
    <w:p w:rsidR="009239F7" w:rsidRPr="002F6A28" w:rsidP="002F6A28" w14:paraId="57AEB789" w14:textId="77777777">
      <w:pPr>
        <w:jc w:val="center"/>
      </w:pPr>
      <w:r w:rsidRPr="002F6A28">
        <w:t>The following notification is being circulated in accordance with Article 10.6</w:t>
      </w:r>
    </w:p>
    <w:p w:rsidR="009239F7" w:rsidRPr="002F6A28" w:rsidP="002F6A28" w14:paraId="64C3D7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65D055" w14:textId="77777777" w:rsidTr="00DB13FE">
        <w:tblPrEx>
          <w:tblW w:w="5000" w:type="pct"/>
          <w:tblLayout w:type="fixed"/>
          <w:tblLook w:val="0000"/>
        </w:tblPrEx>
        <w:tc>
          <w:tcPr>
            <w:tcW w:w="607" w:type="dxa"/>
            <w:tcBorders>
              <w:top w:val="double" w:sz="4" w:space="0" w:color="auto"/>
            </w:tcBorders>
          </w:tcPr>
          <w:p w:rsidR="00F85C99" w:rsidRPr="002F6A28" w:rsidP="002F6A28" w14:paraId="4832870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57238A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9F56D1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9C3E9EA" w14:textId="77777777" w:rsidTr="00DB13FE">
        <w:tblPrEx>
          <w:tblW w:w="5000" w:type="pct"/>
          <w:tblLayout w:type="fixed"/>
          <w:tblLook w:val="0000"/>
        </w:tblPrEx>
        <w:tc>
          <w:tcPr>
            <w:tcW w:w="607" w:type="dxa"/>
          </w:tcPr>
          <w:p w:rsidR="00F85C99" w:rsidRPr="002F6A28" w:rsidP="002F6A28" w14:paraId="17F63EB3" w14:textId="77777777">
            <w:pPr>
              <w:spacing w:before="120" w:after="120"/>
              <w:jc w:val="left"/>
            </w:pPr>
            <w:r w:rsidRPr="002F6A28">
              <w:rPr>
                <w:b/>
              </w:rPr>
              <w:t>2.</w:t>
            </w:r>
          </w:p>
        </w:tc>
        <w:tc>
          <w:tcPr>
            <w:tcW w:w="8373" w:type="dxa"/>
          </w:tcPr>
          <w:p w:rsidR="00F85C99" w:rsidRPr="002F6A28" w:rsidP="000C3B6C" w14:paraId="5CD00934" w14:textId="77777777">
            <w:pPr>
              <w:spacing w:before="120" w:after="120"/>
            </w:pPr>
            <w:r w:rsidRPr="002F6A28">
              <w:rPr>
                <w:b/>
              </w:rPr>
              <w:t>Agency responsible:</w:t>
            </w:r>
            <w:r w:rsidRPr="00C379C8" w:rsidR="00EE3A11">
              <w:t xml:space="preserve"> </w:t>
            </w:r>
          </w:p>
          <w:p w:rsidR="00EE3A11" w:rsidRPr="00C379C8" w:rsidP="000C3B6C" w14:paraId="33FE083A" w14:textId="77777777">
            <w:r w:rsidRPr="00C379C8">
              <w:t>European Commission</w:t>
            </w:r>
          </w:p>
          <w:p w:rsidR="00EE3A11" w:rsidRPr="00C379C8" w:rsidP="000C3B6C" w14:paraId="338E67F9" w14:textId="77777777">
            <w:r w:rsidRPr="00C379C8">
              <w:t>EU-TBT Enquiry Point,</w:t>
            </w:r>
          </w:p>
          <w:p w:rsidR="00EE3A11" w:rsidRPr="00C379C8" w:rsidP="000C3B6C" w14:paraId="79377932" w14:textId="77777777">
            <w:r w:rsidRPr="00C379C8">
              <w:t>Fax: +(32) 2 299 80 43,</w:t>
            </w:r>
          </w:p>
          <w:p w:rsidR="00EE3A11" w:rsidRPr="00C379C8" w:rsidP="000C3B6C" w14:paraId="603166C7" w14:textId="77777777">
            <w:r w:rsidRPr="00C379C8">
              <w:t xml:space="preserve">E-mail: </w:t>
            </w:r>
            <w:hyperlink r:id="rId5" w:history="1">
              <w:r w:rsidRPr="00C379C8">
                <w:rPr>
                  <w:color w:val="0000FF"/>
                  <w:u w:val="single"/>
                </w:rPr>
                <w:t>grow-eu-tbt@ec.europa.eu</w:t>
              </w:r>
            </w:hyperlink>
          </w:p>
          <w:p w:rsidR="00EE3A11" w:rsidRPr="00C379C8" w:rsidP="000C3B6C" w14:paraId="6240C49F"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0745BA1E" w14:textId="77777777" w:rsidTr="00DB13FE">
        <w:tblPrEx>
          <w:tblW w:w="5000" w:type="pct"/>
          <w:tblLayout w:type="fixed"/>
          <w:tblLook w:val="0000"/>
        </w:tblPrEx>
        <w:tc>
          <w:tcPr>
            <w:tcW w:w="607" w:type="dxa"/>
          </w:tcPr>
          <w:p w:rsidR="00F85C99" w:rsidRPr="002F6A28" w:rsidP="002F6A28" w14:paraId="1BF1B444" w14:textId="77777777">
            <w:pPr>
              <w:spacing w:before="120" w:after="120"/>
              <w:jc w:val="left"/>
              <w:rPr>
                <w:b/>
              </w:rPr>
            </w:pPr>
            <w:r w:rsidRPr="002F6A28">
              <w:rPr>
                <w:b/>
              </w:rPr>
              <w:t>3.</w:t>
            </w:r>
          </w:p>
        </w:tc>
        <w:tc>
          <w:tcPr>
            <w:tcW w:w="8373" w:type="dxa"/>
          </w:tcPr>
          <w:p w:rsidR="00F85C99" w:rsidRPr="0058336F" w:rsidP="002F6A28" w14:paraId="229D4AA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242816D" w14:textId="77777777" w:rsidTr="00DB13FE">
        <w:tblPrEx>
          <w:tblW w:w="5000" w:type="pct"/>
          <w:tblLayout w:type="fixed"/>
          <w:tblLook w:val="0000"/>
        </w:tblPrEx>
        <w:tc>
          <w:tcPr>
            <w:tcW w:w="607" w:type="dxa"/>
          </w:tcPr>
          <w:p w:rsidR="00F85C99" w:rsidRPr="002F6A28" w:rsidP="002F6A28" w14:paraId="1901D563" w14:textId="77777777">
            <w:pPr>
              <w:spacing w:before="120" w:after="120"/>
              <w:jc w:val="left"/>
            </w:pPr>
            <w:r w:rsidRPr="002F6A28">
              <w:rPr>
                <w:b/>
              </w:rPr>
              <w:t>4.</w:t>
            </w:r>
          </w:p>
        </w:tc>
        <w:tc>
          <w:tcPr>
            <w:tcW w:w="8373" w:type="dxa"/>
          </w:tcPr>
          <w:p w:rsidR="00F85C99" w:rsidRPr="002F6A28" w:rsidP="002F6A28" w14:paraId="7663EB3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Local space heaters</w:t>
            </w:r>
          </w:p>
        </w:tc>
      </w:tr>
      <w:tr w14:paraId="41DE4C2C" w14:textId="77777777" w:rsidTr="00DB13FE">
        <w:tblPrEx>
          <w:tblW w:w="5000" w:type="pct"/>
          <w:tblLayout w:type="fixed"/>
          <w:tblLook w:val="0000"/>
        </w:tblPrEx>
        <w:tc>
          <w:tcPr>
            <w:tcW w:w="607" w:type="dxa"/>
          </w:tcPr>
          <w:p w:rsidR="00F85C99" w:rsidRPr="002F6A28" w:rsidP="002F6A28" w14:paraId="7C6C2F80" w14:textId="77777777">
            <w:pPr>
              <w:spacing w:before="120" w:after="120"/>
              <w:jc w:val="left"/>
            </w:pPr>
            <w:r w:rsidRPr="002F6A28">
              <w:rPr>
                <w:b/>
              </w:rPr>
              <w:t>5.</w:t>
            </w:r>
          </w:p>
        </w:tc>
        <w:tc>
          <w:tcPr>
            <w:tcW w:w="8373" w:type="dxa"/>
          </w:tcPr>
          <w:p w:rsidR="00F85C99" w:rsidP="002F6A28" w14:paraId="5D6739E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amending Commission Regulation (EU) 2024/1103 as regards a number of definitions, requirements for the self-learning functionality, values related to control accuracy and control to set point deviation and testing methods of ecodesign requirements for local space heaters; (4 page(s), in English), (8 page(s), in English)</w:t>
            </w:r>
          </w:p>
          <w:p w:rsidR="000C3B6C" w:rsidRPr="000C3B6C" w:rsidP="002F6A28" w14:paraId="5C25759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814F4" w:rsidRPr="00CE6C29" w:rsidP="002F6A28" w14:paraId="241CE272" w14:textId="77777777">
            <w:pPr>
              <w:pBdr>
                <w:top w:val="none" w:sz="0" w:space="4" w:color="auto"/>
              </w:pBdr>
              <w:rPr>
                <w:iCs/>
              </w:rPr>
            </w:pPr>
            <w:hyperlink r:id="rId7" w:tgtFrame="_blank" w:history="1">
              <w:r w:rsidRPr="00CE6C29">
                <w:rPr>
                  <w:iCs/>
                  <w:color w:val="0000FF"/>
                  <w:u w:val="single"/>
                </w:rPr>
                <w:t>https://members.wto.org/crnattachments/2026/TBT/EEC/26_00564_00_e.pdf</w:t>
              </w:r>
            </w:hyperlink>
          </w:p>
          <w:p w:rsidR="009814F4" w:rsidRPr="00CE6C29" w:rsidP="002F6A28" w14:paraId="0327F8EC" w14:textId="77777777">
            <w:pPr>
              <w:pBdr>
                <w:bottom w:val="none" w:sz="0" w:space="4" w:color="auto"/>
              </w:pBdr>
              <w:rPr>
                <w:iCs/>
              </w:rPr>
            </w:pPr>
            <w:hyperlink r:id="rId8" w:tgtFrame="_blank" w:history="1">
              <w:r w:rsidRPr="00CE6C29">
                <w:rPr>
                  <w:iCs/>
                  <w:color w:val="0000FF"/>
                  <w:u w:val="single"/>
                </w:rPr>
                <w:t>https://members.wto.org/crnattachments/2026/TBT/EEC/26_00564_01_e.pdf</w:t>
              </w:r>
            </w:hyperlink>
          </w:p>
          <w:p w:rsidR="009814F4" w:rsidRPr="00CE6C29" w:rsidP="002F6A28" w14:paraId="2F85307B" w14:textId="77777777">
            <w:pPr>
              <w:rPr>
                <w:iCs/>
              </w:rPr>
            </w:pPr>
            <w:r w:rsidRPr="00CE6C29">
              <w:rPr>
                <w:iCs/>
              </w:rPr>
              <w:t>European Commission</w:t>
            </w:r>
          </w:p>
          <w:p w:rsidR="009814F4" w:rsidRPr="00CE6C29" w:rsidP="002F6A28" w14:paraId="23A1A1C0" w14:textId="77777777">
            <w:pPr>
              <w:rPr>
                <w:iCs/>
              </w:rPr>
            </w:pPr>
            <w:r w:rsidRPr="00CE6C29">
              <w:rPr>
                <w:iCs/>
              </w:rPr>
              <w:t>EU-TBT Enquiry Point</w:t>
            </w:r>
          </w:p>
          <w:p w:rsidR="009814F4" w:rsidRPr="00CE6C29" w:rsidP="002F6A28" w14:paraId="0AC6FCAC" w14:textId="77777777">
            <w:pPr>
              <w:rPr>
                <w:iCs/>
              </w:rPr>
            </w:pPr>
            <w:r w:rsidRPr="00CE6C29">
              <w:rPr>
                <w:iCs/>
              </w:rPr>
              <w:t>Fax: + (32) 2 299 80 43</w:t>
            </w:r>
          </w:p>
          <w:p w:rsidR="009814F4" w:rsidRPr="00CE6C29" w:rsidP="002F6A28" w14:paraId="0ED815A0" w14:textId="77777777">
            <w:pPr>
              <w:rPr>
                <w:iCs/>
              </w:rPr>
            </w:pPr>
            <w:r w:rsidRPr="00CE6C29">
              <w:rPr>
                <w:iCs/>
              </w:rPr>
              <w:t xml:space="preserve">E-mail: </w:t>
            </w:r>
            <w:hyperlink r:id="rId5" w:history="1">
              <w:r w:rsidRPr="00CE6C29">
                <w:rPr>
                  <w:iCs/>
                  <w:color w:val="0000FF"/>
                  <w:u w:val="single"/>
                </w:rPr>
                <w:t>grow-eu-tbt@ec.europa.eu</w:t>
              </w:r>
            </w:hyperlink>
          </w:p>
          <w:p w:rsidR="009814F4" w:rsidRPr="00CE6C29" w:rsidP="002F6A28" w14:paraId="12C24503"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40825D8D" w14:textId="77777777" w:rsidTr="00DB13FE">
        <w:tblPrEx>
          <w:tblW w:w="5000" w:type="pct"/>
          <w:tblLayout w:type="fixed"/>
          <w:tblLook w:val="0000"/>
        </w:tblPrEx>
        <w:tc>
          <w:tcPr>
            <w:tcW w:w="607" w:type="dxa"/>
          </w:tcPr>
          <w:p w:rsidR="00F85C99" w:rsidRPr="002F6A28" w:rsidP="002F6A28" w14:paraId="081D03C9" w14:textId="77777777">
            <w:pPr>
              <w:spacing w:before="120" w:after="120"/>
              <w:jc w:val="left"/>
              <w:rPr>
                <w:b/>
              </w:rPr>
            </w:pPr>
            <w:r w:rsidRPr="002F6A28">
              <w:rPr>
                <w:b/>
              </w:rPr>
              <w:t>6.</w:t>
            </w:r>
          </w:p>
        </w:tc>
        <w:tc>
          <w:tcPr>
            <w:tcW w:w="8373" w:type="dxa"/>
          </w:tcPr>
          <w:p w:rsidR="00F85C99" w:rsidRPr="002F6A28" w:rsidP="002F6A28" w14:paraId="5C26FAA7" w14:textId="77777777">
            <w:pPr>
              <w:spacing w:before="120" w:after="120"/>
              <w:rPr>
                <w:b/>
              </w:rPr>
            </w:pPr>
            <w:r w:rsidRPr="002F6A28">
              <w:rPr>
                <w:b/>
              </w:rPr>
              <w:t>Description of content:</w:t>
            </w:r>
            <w:r w:rsidRPr="00C379C8" w:rsidR="00FE448B">
              <w:t xml:space="preserve"> This draft Commission Regulation amends the recently approved Regulation (EU) 2024/1103 on ecodesign requirements for local space heaters. The following changes are made: Article 6 is deleted. In Article 2, the definition of 'air heating product' is modified. Article 11 is amended to delete the reference to Article 6 and to lay down a transitional period for compliance with the new limit for the self-learning functionality. In Annex I: the definitions of 'electric portable local space heater', 'electric visibly glowing radiant portable local space heater' and 'electric fixed local space heater' are modified. In Annex II, the paragraph referring to idle mode is modified and a new paragraph on self-learning functionality is added. Additionally, the corresponding tables are modified to include product information on the self-learning functionality. In Annex II and Annex III, the required values for control accuracy and control to setpoint deviation </w:t>
            </w:r>
            <w:r w:rsidRPr="00C379C8" w:rsidR="00FE448B">
              <w:t>for the allocation of the F(3) factors, are expressed as absolute values. In Annex III the corresponding requirements regarding measurements, units and rounding of the power consumption of the self-learning functionality have been included. In the tables in Annex IV, transitional testing methods for the self-learning functionality have been introduced in all tables where this was needed, the term for power consumption in standby mode (</w:t>
            </w:r>
            <w:r w:rsidRPr="00C379C8" w:rsidR="00FE448B">
              <w:rPr>
                <w:i/>
                <w:iCs/>
              </w:rPr>
              <w:t>elsm</w:t>
            </w:r>
            <w:r w:rsidRPr="00C379C8" w:rsidR="00FE448B">
              <w:t xml:space="preserve">) in the first table for gaseous-fuelled LSHs has been replaced by </w:t>
            </w:r>
            <w:r w:rsidRPr="00C379C8" w:rsidR="00FE448B">
              <w:rPr>
                <w:i/>
                <w:iCs/>
              </w:rPr>
              <w:t>Psm</w:t>
            </w:r>
            <w:r w:rsidRPr="00C379C8" w:rsidR="00FE448B">
              <w:t xml:space="preserve"> for consistency across the legal text, the transitional methods for idle mode have been included in the table for electric local space heaters, where they were missing, and a comment has been included in the table on separate related controls for the idle mode. </w:t>
            </w:r>
          </w:p>
          <w:p w:rsidR="00FE448B" w:rsidRPr="00C379C8" w:rsidP="002F6A28" w14:paraId="5E6AC131" w14:textId="77777777">
            <w:pPr>
              <w:spacing w:before="120" w:after="120"/>
            </w:pPr>
            <w:r w:rsidRPr="00C379C8">
              <w:t>Annex V is modified to replace the reference to Article 6, that has been removed, by one to the ESPR, and to include the self-learning functionality in the table intended for verification of compliance with the ecodesign requirements.</w:t>
            </w:r>
          </w:p>
        </w:tc>
      </w:tr>
      <w:tr w14:paraId="558C66CC" w14:textId="77777777" w:rsidTr="00DB13FE">
        <w:tblPrEx>
          <w:tblW w:w="5000" w:type="pct"/>
          <w:tblLayout w:type="fixed"/>
          <w:tblLook w:val="0000"/>
        </w:tblPrEx>
        <w:tc>
          <w:tcPr>
            <w:tcW w:w="607" w:type="dxa"/>
          </w:tcPr>
          <w:p w:rsidR="00F85C99" w:rsidRPr="002F6A28" w:rsidP="002F6A28" w14:paraId="644BC183" w14:textId="77777777">
            <w:pPr>
              <w:spacing w:before="120" w:after="120"/>
              <w:jc w:val="left"/>
              <w:rPr>
                <w:b/>
              </w:rPr>
            </w:pPr>
            <w:r w:rsidRPr="002F6A28">
              <w:rPr>
                <w:b/>
              </w:rPr>
              <w:t>7.</w:t>
            </w:r>
          </w:p>
        </w:tc>
        <w:tc>
          <w:tcPr>
            <w:tcW w:w="8373" w:type="dxa"/>
          </w:tcPr>
          <w:p w:rsidR="00F85C99" w:rsidRPr="002F6A28" w:rsidP="002F6A28" w14:paraId="494BAFE2" w14:textId="77777777">
            <w:pPr>
              <w:spacing w:before="120" w:after="120"/>
              <w:rPr>
                <w:b/>
              </w:rPr>
            </w:pPr>
            <w:r w:rsidRPr="002F6A28">
              <w:rPr>
                <w:b/>
              </w:rPr>
              <w:t>Objective and rationale, including the nature of urgent problems where applicable:</w:t>
            </w:r>
            <w:r w:rsidRPr="00C379C8" w:rsidR="00EE3A11">
              <w:t xml:space="preserve"> After the adoption of Regulation (EU) 2024/1103 certain aspects have been identified that need to be adapted.</w:t>
            </w:r>
          </w:p>
          <w:p w:rsidR="00EE3A11" w:rsidRPr="00C379C8" w:rsidP="002F6A28" w14:paraId="77A73D27" w14:textId="77777777">
            <w:pPr>
              <w:spacing w:before="120" w:after="120"/>
            </w:pPr>
            <w:r w:rsidRPr="00C379C8">
              <w:t>First, the definition of 'air heating product' in Article 2, point (12) of Regulation (EU) 2024/1103 should be changed so that portable air heating products such as fan heaters are not excluded from the scope of the Regulation.'</w:t>
            </w:r>
          </w:p>
          <w:p w:rsidR="00EE3A11" w:rsidRPr="00C379C8" w:rsidP="002F6A28" w14:paraId="65E1E904" w14:textId="77777777">
            <w:pPr>
              <w:spacing w:before="120" w:after="120"/>
            </w:pPr>
            <w:r w:rsidRPr="00C379C8">
              <w:t>Second, Article 6 on circumvention needs to be deleted since Article 40 paragraphs 1 to 4 of Regulation (EU) 2024/1781 of the European Parliament and of the Council</w:t>
            </w:r>
            <w:hyperlink w:anchor="_ftn1" w:history="1">
              <w:r w:rsidRPr="00C379C8">
                <w:t>[1]</w:t>
              </w:r>
            </w:hyperlink>
            <w:r w:rsidRPr="00C379C8">
              <w:t xml:space="preserve"> (ESPR), already ensures that prevention of circumvention is tackled in a comprehensive manner to products covered by Regulation (EU) 2024/1103, making Article 6 unnecessary. This also entails that the reference to Article 6 must be deleted in Article 11 on the entry into force and application of Regulation (EU) 2024/1103, and that the reference in Annex V to that article must be replaced by a reference to the ESPR.</w:t>
            </w:r>
          </w:p>
          <w:p w:rsidR="00EE3A11" w:rsidRPr="00C379C8" w:rsidP="002F6A28" w14:paraId="26B5355E" w14:textId="77777777">
            <w:pPr>
              <w:spacing w:before="120" w:after="120"/>
            </w:pPr>
            <w:r w:rsidRPr="00C379C8">
              <w:t>Third, the definitions of 'electric portable local space heater' and 'electric visibly glowing radiant portable local space heater' in Annex I to Commission Regulation (EU) 2024/1103 should be changed so that electric portable local space heaters not equipped with a cord and a plug by the manufacturer are not excluded from the scope of the Regulation. In addition, for safety reasons, the definition of 'electric visibly glowing radiant portable local space heaters' must be adapted to ensure that electric vis</w:t>
            </w:r>
            <w:r w:rsidRPr="00C379C8">
              <w:t>ibly glowing radiant local space heaters that can be moved according to the heating needs of the user but that are nevertheless equipped with fixing elements, are subject to the requirements applicable to portable and not to fixed appliances.</w:t>
            </w:r>
          </w:p>
          <w:p w:rsidR="00EE3A11" w:rsidRPr="00C379C8" w:rsidP="002F6A28" w14:paraId="10CD14BE" w14:textId="77777777">
            <w:pPr>
              <w:spacing w:before="120" w:after="120"/>
            </w:pPr>
            <w:r w:rsidRPr="00C379C8">
              <w:t>Fourth, the definition of 'electric fixed local space heater' must be modified to clarify that electric visibly glowing radiant local space heaters are not electric fixed local space heaters.</w:t>
            </w:r>
          </w:p>
          <w:p w:rsidR="00EE3A11" w:rsidRPr="00C379C8" w:rsidP="002F6A28" w14:paraId="26A17C57" w14:textId="77777777">
            <w:pPr>
              <w:spacing w:before="120" w:after="120"/>
            </w:pPr>
            <w:r w:rsidRPr="00C379C8">
              <w:t>Fifth, it is necessary to clarify that the higher power consumption limit for the idle mode of 3 W may also apply when the sensor monitoring the room temperature is integrated in the local space heater.</w:t>
            </w:r>
          </w:p>
          <w:p w:rsidR="00EE3A11" w:rsidRPr="00C379C8" w:rsidP="002F6A28" w14:paraId="1C2BDBBE" w14:textId="77777777">
            <w:pPr>
              <w:spacing w:before="120" w:after="120"/>
            </w:pPr>
            <w:r w:rsidRPr="00C379C8">
              <w:t>Sixth, a new power consumption limit has been set for the self-learning functionality, to prevent excessive energy use by local space heaters featuring such functionality. This goes along with an extended deadline to comply with that limit and to the reference of standards that can be used to prove compliance of self-learning functionality with ecodesign rules.</w:t>
            </w:r>
          </w:p>
          <w:p w:rsidR="00EE3A11" w:rsidRPr="00C379C8" w:rsidP="002F6A28" w14:paraId="5999BC19" w14:textId="77777777">
            <w:pPr>
              <w:spacing w:before="120" w:after="120"/>
            </w:pPr>
            <w:r w:rsidRPr="00C379C8">
              <w:t>Seventh, some of the tables in Annex IV including the transitional testing methods have been modified or added to ensure that the same short name referring to power consumption in standby mode (</w:t>
            </w:r>
            <w:r w:rsidRPr="00C379C8">
              <w:rPr>
                <w:i/>
                <w:iCs/>
              </w:rPr>
              <w:t>Psm</w:t>
            </w:r>
            <w:r w:rsidRPr="00C379C8">
              <w:t>) is used across the text and to complement information on idle mode (</w:t>
            </w:r>
            <w:r w:rsidRPr="00C379C8">
              <w:rPr>
                <w:i/>
                <w:iCs/>
              </w:rPr>
              <w:t>Pidle</w:t>
            </w:r>
            <w:r w:rsidRPr="00C379C8">
              <w:t>).</w:t>
            </w:r>
          </w:p>
          <w:p w:rsidR="00EE3A11" w:rsidRPr="00C379C8" w:rsidP="002F6A28" w14:paraId="79D1EE22" w14:textId="77777777">
            <w:pPr>
              <w:spacing w:before="120" w:after="120"/>
            </w:pPr>
            <w:r w:rsidRPr="00C379C8">
              <w:t>Eighth, it should be clarified that the required values for control accuracy (CA) and control to setpoint deviation (CSD), for the purpose of allocation of the F(3) factors in Annex III, refer to absolute values.</w:t>
            </w:r>
          </w:p>
          <w:p w:rsidR="00EE3A11" w:rsidRPr="00C379C8" w:rsidP="002F6A28" w14:paraId="05A99381" w14:textId="77777777">
            <w:pPr>
              <w:spacing w:before="120" w:after="120"/>
            </w:pPr>
            <w:hyperlink w:anchor="_ftnref1" w:history="1">
              <w:r w:rsidRPr="00C379C8">
                <w:t>[1]</w:t>
              </w:r>
            </w:hyperlink>
            <w:r w:rsidRPr="00C379C8" w:rsidR="00DF05A7">
              <w:t xml:space="preserve"> Regulation (EU) 2024/1781 of the European Parliament and of the Council of 13 June 2024 establishing a framework for the setting of ecodesign requirements for sustainable products, amending Directive (EU) 2020/1828 and Regulation (EU) 2023/1542 and repealing Directive 2009/125/EC (OJ L, 2024/1781, 28.6.2024, ELI: </w:t>
            </w:r>
            <w:hyperlink r:id="rId9" w:tgtFrame="_blank" w:history="1">
              <w:r w:rsidRPr="00C379C8">
                <w:rPr>
                  <w:color w:val="0000FF"/>
                  <w:u w:val="single"/>
                </w:rPr>
                <w:t>http://data.europa.eu/eli/reg/2024/1781/oj</w:t>
              </w:r>
            </w:hyperlink>
            <w:r w:rsidRPr="00C379C8" w:rsidR="00DF05A7">
              <w:t>).; Protection of the environment</w:t>
            </w:r>
          </w:p>
        </w:tc>
      </w:tr>
      <w:tr w14:paraId="6256274F" w14:textId="77777777" w:rsidTr="00DB13FE">
        <w:tblPrEx>
          <w:tblW w:w="5000" w:type="pct"/>
          <w:tblLayout w:type="fixed"/>
          <w:tblLook w:val="0000"/>
        </w:tblPrEx>
        <w:tc>
          <w:tcPr>
            <w:tcW w:w="607" w:type="dxa"/>
          </w:tcPr>
          <w:p w:rsidR="00F85C99" w:rsidRPr="002F6A28" w:rsidP="009E75ED" w14:paraId="06507D06" w14:textId="77777777">
            <w:pPr>
              <w:spacing w:before="120" w:after="120"/>
              <w:jc w:val="left"/>
              <w:rPr>
                <w:b/>
              </w:rPr>
            </w:pPr>
            <w:r w:rsidRPr="002F6A28">
              <w:rPr>
                <w:b/>
              </w:rPr>
              <w:t>8.</w:t>
            </w:r>
          </w:p>
        </w:tc>
        <w:tc>
          <w:tcPr>
            <w:tcW w:w="8373" w:type="dxa"/>
          </w:tcPr>
          <w:p w:rsidR="000C3B6C" w:rsidRPr="00EC00D2" w:rsidP="007F13E8" w14:paraId="58D90BA5" w14:textId="77777777">
            <w:pPr>
              <w:spacing w:before="120" w:after="120"/>
              <w:rPr>
                <w:bCs/>
              </w:rPr>
            </w:pPr>
            <w:r w:rsidRPr="002F6A28">
              <w:rPr>
                <w:b/>
              </w:rPr>
              <w:t>Relevant documents:</w:t>
            </w:r>
            <w:r w:rsidRPr="002F6A28" w:rsidR="00EE3A11">
              <w:t xml:space="preserve"> </w:t>
            </w:r>
          </w:p>
          <w:p w:rsidR="00EE3A11" w:rsidRPr="002F6A28" w:rsidP="007F13E8" w14:paraId="19A0A930" w14:textId="77777777">
            <w:pPr>
              <w:numPr>
                <w:ilvl w:val="0"/>
                <w:numId w:val="16"/>
              </w:numPr>
              <w:spacing w:before="120" w:after="120"/>
            </w:pPr>
            <w:hyperlink r:id="rId10" w:history="1">
              <w:r w:rsidRPr="002F6A28">
                <w:rPr>
                  <w:color w:val="0000FF"/>
                  <w:u w:val="single"/>
                </w:rPr>
                <w:t>Directive 2009/125/EC</w:t>
              </w:r>
            </w:hyperlink>
            <w:r w:rsidRPr="002F6A28" w:rsidR="00DF05A7">
              <w:t xml:space="preserve"> of the European Parliament and of the Council of 21 October 2009 establishing a framework for the setting of ecodesign requirements for energy-related products, </w:t>
            </w:r>
            <w:r w:rsidRPr="002F6A28" w:rsidR="00DF05A7">
              <w:rPr>
                <w:i/>
                <w:iCs/>
              </w:rPr>
              <w:t>Official Journal L 285 , 31 October 2009, P. 010.</w:t>
            </w:r>
            <w:r w:rsidRPr="002F6A28" w:rsidR="00DF05A7">
              <w:rPr>
                <w:i/>
                <w:iCs/>
              </w:rPr>
              <w:fldChar w:fldCharType="begin"/>
            </w:r>
            <w:r w:rsidRPr="002F6A28" w:rsidR="00DF05A7">
              <w:rPr>
                <w:i/>
                <w:iCs/>
              </w:rPr>
              <w:instrText xml:space="preserve"> HYPERLINK "http://eur-lex.europa.eu/LexUriServ/LexUriServ.do?uri=OJ:L:2009:285:0010:0035:en:PDF" </w:instrText>
            </w:r>
            <w:r w:rsidRPr="002F6A28" w:rsidR="00DF05A7">
              <w:rPr>
                <w:i/>
                <w:iCs/>
              </w:rPr>
              <w:fldChar w:fldCharType="separate"/>
            </w:r>
          </w:p>
          <w:p w:rsidR="00EE3A11" w:rsidRPr="002F6A28" w:rsidP="007F13E8" w14:paraId="43874DA9" w14:textId="77777777">
            <w:pPr>
              <w:spacing w:before="120" w:after="120"/>
            </w:pPr>
            <w:r w:rsidRPr="002F6A28">
              <w:t>http://eur-lex.europa.eu/LexUriServ/LexUriServ.do?uri=OJ:L:2009:285:0010:0035:en:PDF</w:t>
            </w:r>
            <w:r w:rsidRPr="002F6A28">
              <w:fldChar w:fldCharType="end"/>
            </w:r>
          </w:p>
          <w:p w:rsidR="00EE3A11" w:rsidRPr="002F6A28" w:rsidP="007F13E8" w14:paraId="38BB2137" w14:textId="77777777">
            <w:pPr>
              <w:numPr>
                <w:ilvl w:val="0"/>
                <w:numId w:val="17"/>
              </w:numPr>
              <w:spacing w:before="120" w:after="120"/>
            </w:pPr>
            <w:r w:rsidRPr="002F6A28">
              <w:t>Commission Regulation (EU) 2024/1103 of 18 April 2024 implementing Directive 2009/125/EC of the European Parliament and of the Council as regards ecodesign requirements for local space heaters and separate related controls, and repealing Commission Regulation (EU) 2015/1188.</w:t>
            </w:r>
            <w:r w:rsidRPr="002F6A28">
              <w:fldChar w:fldCharType="begin"/>
            </w:r>
            <w:r w:rsidRPr="002F6A28">
              <w:instrText xml:space="preserve"> HYPERLINK "https://eur-lex.europa.eu/legal-content/EN/TXT/PDF/?uri=OJ:L_202401103" </w:instrText>
            </w:r>
            <w:r w:rsidRPr="002F6A28">
              <w:fldChar w:fldCharType="separate"/>
            </w:r>
          </w:p>
          <w:p w:rsidR="00EE3A11" w:rsidRPr="00E934CA" w:rsidP="007F13E8" w14:paraId="7DF60621" w14:textId="77777777">
            <w:pPr>
              <w:spacing w:before="120" w:after="120"/>
              <w:rPr>
                <w:lang w:val="fr-CH"/>
              </w:rPr>
            </w:pPr>
            <w:r w:rsidRPr="00E934CA">
              <w:rPr>
                <w:lang w:val="fr-CH"/>
              </w:rPr>
              <w:t>Regulation - EU - 2024/1103 - EN - EUR-Lex (europa.eu)</w:t>
            </w:r>
            <w:r w:rsidRPr="002F6A28">
              <w:fldChar w:fldCharType="end"/>
            </w:r>
          </w:p>
        </w:tc>
      </w:tr>
      <w:tr w14:paraId="4280DA29" w14:textId="77777777" w:rsidTr="00DB13FE">
        <w:tblPrEx>
          <w:tblW w:w="5000" w:type="pct"/>
          <w:tblLayout w:type="fixed"/>
          <w:tblLook w:val="0000"/>
        </w:tblPrEx>
        <w:tc>
          <w:tcPr>
            <w:tcW w:w="607" w:type="dxa"/>
          </w:tcPr>
          <w:p w:rsidR="00EE3A11" w:rsidRPr="002F6A28" w:rsidP="002F6A28" w14:paraId="1E2EDD57" w14:textId="77777777">
            <w:pPr>
              <w:spacing w:before="120" w:after="120"/>
              <w:jc w:val="left"/>
              <w:rPr>
                <w:b/>
              </w:rPr>
            </w:pPr>
            <w:r w:rsidRPr="002F6A28">
              <w:rPr>
                <w:b/>
              </w:rPr>
              <w:t>9.</w:t>
            </w:r>
          </w:p>
        </w:tc>
        <w:tc>
          <w:tcPr>
            <w:tcW w:w="8373" w:type="dxa"/>
          </w:tcPr>
          <w:p w:rsidR="00EE3A11" w:rsidRPr="002F6A28" w:rsidP="008953C4" w14:paraId="06EE0BB4" w14:textId="77777777">
            <w:pPr>
              <w:spacing w:before="120" w:after="120"/>
            </w:pPr>
            <w:r w:rsidRPr="002F6A28">
              <w:rPr>
                <w:b/>
              </w:rPr>
              <w:t>Proposed date of adoption:</w:t>
            </w:r>
            <w:r w:rsidRPr="00C379C8">
              <w:t xml:space="preserve"> July 2026</w:t>
            </w:r>
          </w:p>
          <w:p w:rsidR="00EE3A11" w:rsidRPr="002F6A28" w:rsidP="008953C4" w14:paraId="7543BB99" w14:textId="77777777">
            <w:pPr>
              <w:spacing w:after="120"/>
            </w:pPr>
            <w:r w:rsidRPr="002F6A28">
              <w:rPr>
                <w:b/>
              </w:rPr>
              <w:t>Proposed date of entry into force:</w:t>
            </w:r>
            <w:r w:rsidRPr="00C379C8">
              <w:t xml:space="preserve"> </w:t>
            </w:r>
            <w:r w:rsidRPr="00C379C8">
              <w:t>20 days from publication in the Official Journal of the EU. The provisions shall apply immediately, except the new limit for the self-learning functionality, that would apply from 9 May 2027.</w:t>
            </w:r>
          </w:p>
        </w:tc>
      </w:tr>
      <w:tr w14:paraId="5F637910" w14:textId="77777777" w:rsidTr="00DB13FE">
        <w:tblPrEx>
          <w:tblW w:w="5000" w:type="pct"/>
          <w:tblLayout w:type="fixed"/>
          <w:tblLook w:val="0000"/>
        </w:tblPrEx>
        <w:tc>
          <w:tcPr>
            <w:tcW w:w="607" w:type="dxa"/>
            <w:tcBorders>
              <w:bottom w:val="double" w:sz="4" w:space="0" w:color="auto"/>
            </w:tcBorders>
          </w:tcPr>
          <w:p w:rsidR="00F85C99" w:rsidRPr="002F6A28" w:rsidP="002F6A28" w14:paraId="643E413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58D18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16A9C6E" w14:textId="77777777">
            <w:pPr>
              <w:spacing w:before="120" w:after="120"/>
              <w:rPr>
                <w:bCs/>
              </w:rPr>
            </w:pPr>
            <w:r w:rsidRPr="002F6A28">
              <w:rPr>
                <w:b/>
              </w:rPr>
              <w:t>Final date for comments:</w:t>
            </w:r>
            <w:r w:rsidRPr="00C379C8" w:rsidR="00EE3A11">
              <w:t xml:space="preserve"> 30 March 2026</w:t>
            </w:r>
          </w:p>
          <w:p w:rsidR="000C3B6C" w:rsidRPr="00E3324D" w:rsidP="000C3B6C" w14:paraId="31FFFBE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46ED15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A62A277" w14:textId="77777777">
            <w:r w:rsidRPr="00CE6C29">
              <w:t>European Commission,</w:t>
            </w:r>
          </w:p>
          <w:p w:rsidR="00CE6C29" w:rsidRPr="00CE6C29" w:rsidP="000C3B6C" w14:paraId="64FFAC95" w14:textId="77777777">
            <w:r w:rsidRPr="00CE6C29">
              <w:t>EU-TBT Enquiry Point,</w:t>
            </w:r>
          </w:p>
          <w:p w:rsidR="00CE6C29" w:rsidRPr="00CE6C29" w:rsidP="000C3B6C" w14:paraId="3F8CCBE9" w14:textId="77777777">
            <w:r w:rsidRPr="00CE6C29">
              <w:t>Fax: + (32) 2 299 80 43,</w:t>
            </w:r>
          </w:p>
          <w:p w:rsidR="00CE6C29" w:rsidRPr="00CE6C29" w:rsidP="000C3B6C" w14:paraId="1777862F"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0628394D"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DA983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E2928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01B16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B2F6B7" w14:textId="77777777">
    <w:pPr>
      <w:pStyle w:val="Header"/>
      <w:pBdr>
        <w:bottom w:val="single" w:sz="4" w:space="1" w:color="auto"/>
      </w:pBdr>
      <w:tabs>
        <w:tab w:val="clear" w:pos="4513"/>
        <w:tab w:val="clear" w:pos="9027"/>
      </w:tabs>
      <w:jc w:val="center"/>
    </w:pPr>
    <w:r w:rsidRPr="002F6A28">
      <w:t>tbtSymbol</w:t>
    </w:r>
  </w:p>
  <w:p w:rsidR="009239F7" w:rsidRPr="002F6A28" w:rsidP="009239F7" w14:paraId="7FAF9628" w14:textId="77777777">
    <w:pPr>
      <w:pStyle w:val="Header"/>
      <w:pBdr>
        <w:bottom w:val="single" w:sz="4" w:space="1" w:color="auto"/>
      </w:pBdr>
      <w:tabs>
        <w:tab w:val="clear" w:pos="4513"/>
        <w:tab w:val="clear" w:pos="9027"/>
      </w:tabs>
      <w:jc w:val="center"/>
    </w:pPr>
  </w:p>
  <w:p w:rsidR="009239F7" w:rsidRPr="002F6A28" w:rsidP="009239F7" w14:paraId="0E2067E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3EEE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9DDCCA" w14:textId="77777777">
    <w:pPr>
      <w:pStyle w:val="Header"/>
      <w:pBdr>
        <w:bottom w:val="single" w:sz="4" w:space="1" w:color="auto"/>
      </w:pBdr>
      <w:tabs>
        <w:tab w:val="clear" w:pos="4513"/>
        <w:tab w:val="clear" w:pos="9027"/>
      </w:tabs>
      <w:jc w:val="center"/>
    </w:pPr>
    <w:bookmarkStart w:id="0" w:name="spsSymbolHeader"/>
    <w:r w:rsidRPr="002F6A28">
      <w:t>G/TBT/N/EU/1186</w:t>
    </w:r>
    <w:bookmarkEnd w:id="0"/>
  </w:p>
  <w:p w:rsidR="009239F7" w:rsidRPr="002F6A28" w:rsidP="009239F7" w14:paraId="212C37CE" w14:textId="77777777">
    <w:pPr>
      <w:pStyle w:val="Header"/>
      <w:pBdr>
        <w:bottom w:val="single" w:sz="4" w:space="1" w:color="auto"/>
      </w:pBdr>
      <w:tabs>
        <w:tab w:val="clear" w:pos="4513"/>
        <w:tab w:val="clear" w:pos="9027"/>
      </w:tabs>
      <w:jc w:val="center"/>
    </w:pPr>
  </w:p>
  <w:p w:rsidR="009239F7" w:rsidRPr="002F6A28" w:rsidP="009239F7" w14:paraId="3865AE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FE74E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4277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105ED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712B1F9" w14:textId="77777777">
          <w:pPr>
            <w:jc w:val="right"/>
            <w:rPr>
              <w:b/>
              <w:color w:val="FF0000"/>
              <w:szCs w:val="16"/>
            </w:rPr>
          </w:pPr>
        </w:p>
      </w:tc>
    </w:tr>
    <w:bookmarkEnd w:id="1"/>
    <w:tr w14:paraId="21B371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FE6F3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FEA2AB" w14:textId="77777777">
          <w:pPr>
            <w:jc w:val="right"/>
            <w:rPr>
              <w:b/>
              <w:szCs w:val="16"/>
            </w:rPr>
          </w:pPr>
        </w:p>
      </w:tc>
    </w:tr>
    <w:tr w14:paraId="62F329F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20E2A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A39761" w14:textId="77777777">
          <w:pPr>
            <w:jc w:val="right"/>
            <w:rPr>
              <w:b/>
              <w:szCs w:val="16"/>
            </w:rPr>
          </w:pPr>
          <w:bookmarkStart w:id="2" w:name="bmkSymbols"/>
          <w:r w:rsidRPr="002F6A28">
            <w:rPr>
              <w:b/>
              <w:szCs w:val="16"/>
            </w:rPr>
            <w:t>G/TBT/N/EU/1186</w:t>
          </w:r>
          <w:bookmarkEnd w:id="2"/>
        </w:p>
      </w:tc>
    </w:tr>
    <w:tr w14:paraId="74051B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59EF999" w14:textId="77777777"/>
      </w:tc>
      <w:tc>
        <w:tcPr>
          <w:tcW w:w="5448" w:type="dxa"/>
          <w:gridSpan w:val="2"/>
          <w:shd w:val="clear" w:color="auto" w:fill="FFFFFF"/>
          <w:tcMar>
            <w:left w:w="108" w:type="dxa"/>
            <w:right w:w="108" w:type="dxa"/>
          </w:tcMar>
          <w:vAlign w:val="center"/>
        </w:tcPr>
        <w:p w:rsidR="00ED54E0" w:rsidRPr="009239F7" w:rsidP="00B801E9" w14:paraId="5EDA33E1" w14:textId="77777777">
          <w:pPr>
            <w:jc w:val="right"/>
            <w:rPr>
              <w:szCs w:val="16"/>
            </w:rPr>
          </w:pPr>
          <w:bookmarkStart w:id="3" w:name="spsDateDistribution"/>
          <w:bookmarkStart w:id="4" w:name="bmkDate"/>
          <w:r w:rsidRPr="009239F7">
            <w:rPr>
              <w:szCs w:val="16"/>
            </w:rPr>
            <w:t>29 January 2026</w:t>
          </w:r>
          <w:bookmarkEnd w:id="3"/>
          <w:bookmarkEnd w:id="4"/>
        </w:p>
      </w:tc>
    </w:tr>
    <w:tr w14:paraId="4EB20EA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3029224" w14:textId="77777777">
          <w:pPr>
            <w:jc w:val="left"/>
            <w:rPr>
              <w:b/>
            </w:rPr>
          </w:pPr>
          <w:bookmarkStart w:id="5" w:name="bmkSerial"/>
          <w:r>
            <w:rPr>
              <w:rFonts w:ascii="Verdana" w:eastAsia="Verdana" w:hAnsi="Verdana" w:cs="Verdana"/>
              <w:b w:val="0"/>
              <w:color w:val="FF0000"/>
              <w:sz w:val="18"/>
            </w:rPr>
            <w:t>(26-0651)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4AD12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49348D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FE9EA8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D7E5A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15E00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13889861">
    <w:abstractNumId w:val="9"/>
  </w:num>
  <w:num w:numId="2" w16cid:durableId="2000039839">
    <w:abstractNumId w:val="7"/>
  </w:num>
  <w:num w:numId="3" w16cid:durableId="1791776163">
    <w:abstractNumId w:val="6"/>
  </w:num>
  <w:num w:numId="4" w16cid:durableId="2061636016">
    <w:abstractNumId w:val="5"/>
  </w:num>
  <w:num w:numId="5" w16cid:durableId="195510044">
    <w:abstractNumId w:val="4"/>
  </w:num>
  <w:num w:numId="6" w16cid:durableId="2072650564">
    <w:abstractNumId w:val="12"/>
  </w:num>
  <w:num w:numId="7" w16cid:durableId="1755393412">
    <w:abstractNumId w:val="11"/>
  </w:num>
  <w:num w:numId="8" w16cid:durableId="820926409">
    <w:abstractNumId w:val="10"/>
  </w:num>
  <w:num w:numId="9" w16cid:durableId="1452700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0691967">
    <w:abstractNumId w:val="13"/>
  </w:num>
  <w:num w:numId="11" w16cid:durableId="1816681572">
    <w:abstractNumId w:val="8"/>
  </w:num>
  <w:num w:numId="12" w16cid:durableId="998192573">
    <w:abstractNumId w:val="3"/>
  </w:num>
  <w:num w:numId="13" w16cid:durableId="1659848899">
    <w:abstractNumId w:val="2"/>
  </w:num>
  <w:num w:numId="14" w16cid:durableId="1857697">
    <w:abstractNumId w:val="1"/>
  </w:num>
  <w:num w:numId="15" w16cid:durableId="203443070">
    <w:abstractNumId w:val="0"/>
  </w:num>
  <w:num w:numId="16" w16cid:durableId="1797983367">
    <w:abstractNumId w:val="14"/>
  </w:num>
  <w:num w:numId="17" w16cid:durableId="5400473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195"/>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14F4"/>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05A7"/>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4CA"/>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C524B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ur-lex.europa.eu/LexUriServ/LexUriServ.do?uri=CELEX:32005L0032:EN:NOT"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0564_00_e.pdf" TargetMode="External" /><Relationship Id="rId8" Type="http://schemas.openxmlformats.org/officeDocument/2006/relationships/hyperlink" Target="https://members.wto.org/crnattachments/2026/TBT/EEC/26_00564_01_e.pdf" TargetMode="External" /><Relationship Id="rId9" Type="http://schemas.openxmlformats.org/officeDocument/2006/relationships/hyperlink" Target="http://data.europa.eu/eli/reg/2024/1781/oj"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2026-01-29T13:37:00Z</dcterms:created>
  <dcterms:modified xsi:type="dcterms:W3CDTF">2026-01-29T13:37:00Z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