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5ED61CE" w14:textId="77777777">
      <w:pPr>
        <w:pStyle w:val="Title"/>
        <w:rPr>
          <w:caps w:val="0"/>
          <w:kern w:val="0"/>
        </w:rPr>
      </w:pPr>
      <w:r w:rsidRPr="002F6A28">
        <w:rPr>
          <w:caps w:val="0"/>
          <w:kern w:val="0"/>
        </w:rPr>
        <w:t>NOTIFICATION</w:t>
      </w:r>
    </w:p>
    <w:p w:rsidR="009239F7" w:rsidRPr="002F6A28" w:rsidP="002F6A28" w14:paraId="4ECDCF3C" w14:textId="77777777">
      <w:pPr>
        <w:jc w:val="center"/>
      </w:pPr>
      <w:r w:rsidRPr="002F6A28">
        <w:t>The following notification is being circulated in accordance with Article 10.6</w:t>
      </w:r>
    </w:p>
    <w:p w:rsidR="009239F7" w:rsidRPr="002F6A28" w:rsidP="002F6A28" w14:paraId="489421D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6203F08" w14:textId="77777777" w:rsidTr="00DB13FE">
        <w:tblPrEx>
          <w:tblW w:w="5000" w:type="pct"/>
          <w:tblLayout w:type="fixed"/>
          <w:tblLook w:val="0000"/>
        </w:tblPrEx>
        <w:tc>
          <w:tcPr>
            <w:tcW w:w="607" w:type="dxa"/>
            <w:tcBorders>
              <w:top w:val="double" w:sz="4" w:space="0" w:color="auto"/>
            </w:tcBorders>
          </w:tcPr>
          <w:p w:rsidR="00F85C99" w:rsidRPr="002F6A28" w:rsidP="002F6A28" w14:paraId="75E3F8C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5CC77F6"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5022E7B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4AE852C" w14:textId="77777777" w:rsidTr="00DB13FE">
        <w:tblPrEx>
          <w:tblW w:w="5000" w:type="pct"/>
          <w:tblLayout w:type="fixed"/>
          <w:tblLook w:val="0000"/>
        </w:tblPrEx>
        <w:tc>
          <w:tcPr>
            <w:tcW w:w="607" w:type="dxa"/>
          </w:tcPr>
          <w:p w:rsidR="00F85C99" w:rsidRPr="002F6A28" w:rsidP="002F6A28" w14:paraId="7E1EF0CA" w14:textId="77777777">
            <w:pPr>
              <w:spacing w:before="120" w:after="120"/>
              <w:jc w:val="left"/>
            </w:pPr>
            <w:r w:rsidRPr="002F6A28">
              <w:rPr>
                <w:b/>
              </w:rPr>
              <w:t>2.</w:t>
            </w:r>
          </w:p>
        </w:tc>
        <w:tc>
          <w:tcPr>
            <w:tcW w:w="8373" w:type="dxa"/>
          </w:tcPr>
          <w:p w:rsidR="00F85C99" w:rsidRPr="002F6A28" w:rsidP="000C3B6C" w14:paraId="04088241" w14:textId="77777777">
            <w:pPr>
              <w:spacing w:before="120" w:after="120"/>
            </w:pPr>
            <w:r w:rsidRPr="002F6A28">
              <w:rPr>
                <w:b/>
              </w:rPr>
              <w:t>Agency responsible:</w:t>
            </w:r>
            <w:r w:rsidRPr="00C379C8" w:rsidR="00EE3A11">
              <w:t xml:space="preserve"> </w:t>
            </w:r>
          </w:p>
          <w:p w:rsidR="00EE3A11" w:rsidRPr="00C379C8" w:rsidP="000C3B6C" w14:paraId="5579974F" w14:textId="77777777">
            <w:pPr>
              <w:spacing w:after="120"/>
            </w:pPr>
            <w:r w:rsidRPr="00C379C8">
              <w:t>Ministry of Health, Labour and Welfare</w:t>
            </w:r>
          </w:p>
        </w:tc>
      </w:tr>
      <w:tr w14:paraId="1D012410" w14:textId="77777777" w:rsidTr="00DB13FE">
        <w:tblPrEx>
          <w:tblW w:w="5000" w:type="pct"/>
          <w:tblLayout w:type="fixed"/>
          <w:tblLook w:val="0000"/>
        </w:tblPrEx>
        <w:tc>
          <w:tcPr>
            <w:tcW w:w="607" w:type="dxa"/>
          </w:tcPr>
          <w:p w:rsidR="00F85C99" w:rsidRPr="002F6A28" w:rsidP="002F6A28" w14:paraId="2637A9CD" w14:textId="77777777">
            <w:pPr>
              <w:spacing w:before="120" w:after="120"/>
              <w:jc w:val="left"/>
              <w:rPr>
                <w:b/>
              </w:rPr>
            </w:pPr>
            <w:r w:rsidRPr="002F6A28">
              <w:rPr>
                <w:b/>
              </w:rPr>
              <w:t>3.</w:t>
            </w:r>
          </w:p>
        </w:tc>
        <w:tc>
          <w:tcPr>
            <w:tcW w:w="8373" w:type="dxa"/>
          </w:tcPr>
          <w:p w:rsidR="00F85C99" w:rsidRPr="0058336F" w:rsidP="002F6A28" w14:paraId="4079D58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0CFB98" w14:textId="77777777" w:rsidTr="00DB13FE">
        <w:tblPrEx>
          <w:tblW w:w="5000" w:type="pct"/>
          <w:tblLayout w:type="fixed"/>
          <w:tblLook w:val="0000"/>
        </w:tblPrEx>
        <w:tc>
          <w:tcPr>
            <w:tcW w:w="607" w:type="dxa"/>
          </w:tcPr>
          <w:p w:rsidR="00F85C99" w:rsidRPr="002F6A28" w:rsidP="002F6A28" w14:paraId="4FD13DFF" w14:textId="77777777">
            <w:pPr>
              <w:spacing w:before="120" w:after="120"/>
              <w:jc w:val="left"/>
            </w:pPr>
            <w:r w:rsidRPr="002F6A28">
              <w:rPr>
                <w:b/>
              </w:rPr>
              <w:t>4.</w:t>
            </w:r>
          </w:p>
        </w:tc>
        <w:tc>
          <w:tcPr>
            <w:tcW w:w="8373" w:type="dxa"/>
          </w:tcPr>
          <w:p w:rsidR="00F85C99" w:rsidRPr="002F6A28" w:rsidP="002F6A28" w14:paraId="294444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Drug, quasi-drug, cosmetic, medical device and regenerative medical product (hereinafter referred as "drugs, etc.") (HS 30, HS 33).</w:t>
            </w:r>
          </w:p>
        </w:tc>
      </w:tr>
      <w:tr w14:paraId="00AD206B" w14:textId="77777777" w:rsidTr="00DB13FE">
        <w:tblPrEx>
          <w:tblW w:w="5000" w:type="pct"/>
          <w:tblLayout w:type="fixed"/>
          <w:tblLook w:val="0000"/>
        </w:tblPrEx>
        <w:tc>
          <w:tcPr>
            <w:tcW w:w="607" w:type="dxa"/>
          </w:tcPr>
          <w:p w:rsidR="00F85C99" w:rsidRPr="002F6A28" w:rsidP="002F6A28" w14:paraId="7C1CCB42" w14:textId="77777777">
            <w:pPr>
              <w:spacing w:before="120" w:after="120"/>
              <w:jc w:val="left"/>
            </w:pPr>
            <w:r w:rsidRPr="002F6A28">
              <w:rPr>
                <w:b/>
              </w:rPr>
              <w:t>5.</w:t>
            </w:r>
          </w:p>
        </w:tc>
        <w:tc>
          <w:tcPr>
            <w:tcW w:w="8373" w:type="dxa"/>
          </w:tcPr>
          <w:p w:rsidR="00F85C99" w:rsidP="002F6A28" w14:paraId="77AEA96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to the Standards for Biological Raw Materials; (1 page(s), in English)</w:t>
            </w:r>
          </w:p>
          <w:p w:rsidR="000C3B6C" w:rsidRPr="000C3B6C" w:rsidP="002F6A28" w14:paraId="02A582C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8570D" w:rsidRPr="00CE6C29" w:rsidP="002F6A28" w14:paraId="2297B6BC"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https://members.wto.org/crnattachments/2026/TBT/JPN/26_00463_00_e.pdf</w:t>
              </w:r>
            </w:hyperlink>
          </w:p>
          <w:p w:rsidR="0098570D" w:rsidRPr="00CE6C29" w:rsidP="002F6A28" w14:paraId="314A0FFC" w14:textId="77777777">
            <w:pPr>
              <w:rPr>
                <w:iCs/>
              </w:rPr>
            </w:pPr>
            <w:r w:rsidRPr="00CE6C29">
              <w:rPr>
                <w:iCs/>
              </w:rPr>
              <w:t>Japan Enquiry Point</w:t>
            </w:r>
          </w:p>
          <w:p w:rsidR="0098570D" w:rsidRPr="00CE6C29" w:rsidP="002F6A28" w14:paraId="0153FE2F" w14:textId="77777777">
            <w:pPr>
              <w:rPr>
                <w:iCs/>
              </w:rPr>
            </w:pPr>
            <w:r w:rsidRPr="00CE6C29">
              <w:rPr>
                <w:iCs/>
              </w:rPr>
              <w:t>International Trade Division,</w:t>
            </w:r>
          </w:p>
          <w:p w:rsidR="0098570D" w:rsidRPr="00CE6C29" w:rsidP="002F6A28" w14:paraId="0E4AF711" w14:textId="77777777">
            <w:pPr>
              <w:rPr>
                <w:iCs/>
              </w:rPr>
            </w:pPr>
            <w:r w:rsidRPr="00CE6C29">
              <w:rPr>
                <w:iCs/>
              </w:rPr>
              <w:t>Economic Affairs Bureau,</w:t>
            </w:r>
          </w:p>
          <w:p w:rsidR="0098570D" w:rsidRPr="00CE6C29" w:rsidP="002F6A28" w14:paraId="6CF4FE2C" w14:textId="77777777">
            <w:pPr>
              <w:rPr>
                <w:iCs/>
              </w:rPr>
            </w:pPr>
            <w:r w:rsidRPr="00CE6C29">
              <w:rPr>
                <w:iCs/>
              </w:rPr>
              <w:t>Ministry of Foreign Affairs</w:t>
            </w:r>
          </w:p>
          <w:p w:rsidR="0098570D" w:rsidRPr="00CE6C29" w:rsidP="002F6A28" w14:paraId="0DC7CFC4" w14:textId="77777777">
            <w:pPr>
              <w:rPr>
                <w:iCs/>
              </w:rPr>
            </w:pPr>
            <w:r w:rsidRPr="00CE6C29">
              <w:rPr>
                <w:iCs/>
              </w:rPr>
              <w:t>Fax: (+81 3) 5501 8343</w:t>
            </w:r>
          </w:p>
          <w:p w:rsidR="0098570D" w:rsidRPr="00CE6C29" w:rsidP="002F6A28" w14:paraId="457A521E" w14:textId="77777777">
            <w:pPr>
              <w:spacing w:after="120"/>
              <w:rPr>
                <w:iCs/>
              </w:rPr>
            </w:pPr>
            <w:r w:rsidRPr="00CE6C29">
              <w:rPr>
                <w:iCs/>
              </w:rPr>
              <w:t xml:space="preserve">E-mail: </w:t>
            </w:r>
            <w:hyperlink r:id="rId6" w:history="1">
              <w:r w:rsidRPr="00CE6C29">
                <w:rPr>
                  <w:iCs/>
                  <w:color w:val="0000FF"/>
                  <w:u w:val="single"/>
                </w:rPr>
                <w:t>enquiry@mofa.go.jp</w:t>
              </w:r>
            </w:hyperlink>
          </w:p>
        </w:tc>
      </w:tr>
      <w:tr w14:paraId="17789DE7" w14:textId="77777777" w:rsidTr="00DB13FE">
        <w:tblPrEx>
          <w:tblW w:w="5000" w:type="pct"/>
          <w:tblLayout w:type="fixed"/>
          <w:tblLook w:val="0000"/>
        </w:tblPrEx>
        <w:tc>
          <w:tcPr>
            <w:tcW w:w="607" w:type="dxa"/>
          </w:tcPr>
          <w:p w:rsidR="00F85C99" w:rsidRPr="002F6A28" w:rsidP="002F6A28" w14:paraId="0CC16258" w14:textId="77777777">
            <w:pPr>
              <w:spacing w:before="120" w:after="120"/>
              <w:jc w:val="left"/>
              <w:rPr>
                <w:b/>
              </w:rPr>
            </w:pPr>
            <w:r w:rsidRPr="002F6A28">
              <w:rPr>
                <w:b/>
              </w:rPr>
              <w:t>6.</w:t>
            </w:r>
          </w:p>
        </w:tc>
        <w:tc>
          <w:tcPr>
            <w:tcW w:w="8373" w:type="dxa"/>
          </w:tcPr>
          <w:p w:rsidR="00F85C99" w:rsidRPr="002F6A28" w:rsidP="002F6A28" w14:paraId="71E689A8" w14:textId="77777777">
            <w:pPr>
              <w:spacing w:before="120" w:after="120"/>
              <w:rPr>
                <w:b/>
              </w:rPr>
            </w:pPr>
            <w:r w:rsidRPr="002F6A28">
              <w:rPr>
                <w:b/>
              </w:rPr>
              <w:t>Description of content:</w:t>
            </w:r>
            <w:r w:rsidRPr="00C379C8" w:rsidR="00FE448B">
              <w:t xml:space="preserve"> The Standards for Ruminant-Derived Raw Materials in the Standards for Biological Raw Materials (the notification No.210 of MHLW, 2003) shall be partially amended as follows: </w:t>
            </w:r>
          </w:p>
          <w:p w:rsidR="00FE448B" w:rsidRPr="00C379C8" w:rsidP="002F6A28" w14:paraId="343BE682" w14:textId="77777777">
            <w:pPr>
              <w:numPr>
                <w:ilvl w:val="0"/>
                <w:numId w:val="16"/>
              </w:numPr>
              <w:spacing w:before="120" w:after="120"/>
            </w:pPr>
            <w:r w:rsidRPr="00C379C8">
              <w:t>To exclude "backbone" and "skull" derived from cattle aged 30 months or younger from the list of parts prohibited for use as raw materials for drugs, etc.</w:t>
            </w:r>
          </w:p>
          <w:p w:rsidR="00FE448B" w:rsidRPr="00C379C8" w:rsidP="002F6A28" w14:paraId="7906DDD1" w14:textId="77777777">
            <w:pPr>
              <w:numPr>
                <w:ilvl w:val="0"/>
                <w:numId w:val="16"/>
              </w:numPr>
              <w:spacing w:before="120" w:after="120"/>
            </w:pPr>
            <w:r w:rsidRPr="00C379C8">
              <w:t>To update the description regarding the country of origin based on the revision of countries in which the risk of BSE pathogen propagation is considered negligible by the World Organisation for Animal Health, including the removal of references of Canadian-origin materials.</w:t>
            </w:r>
          </w:p>
        </w:tc>
      </w:tr>
      <w:tr w14:paraId="66F4A2BF" w14:textId="77777777" w:rsidTr="00DB13FE">
        <w:tblPrEx>
          <w:tblW w:w="5000" w:type="pct"/>
          <w:tblLayout w:type="fixed"/>
          <w:tblLook w:val="0000"/>
        </w:tblPrEx>
        <w:tc>
          <w:tcPr>
            <w:tcW w:w="607" w:type="dxa"/>
          </w:tcPr>
          <w:p w:rsidR="00F85C99" w:rsidRPr="002F6A28" w:rsidP="002F6A28" w14:paraId="094E6DE1" w14:textId="77777777">
            <w:pPr>
              <w:spacing w:before="120" w:after="120"/>
              <w:jc w:val="left"/>
              <w:rPr>
                <w:b/>
              </w:rPr>
            </w:pPr>
            <w:r w:rsidRPr="002F6A28">
              <w:rPr>
                <w:b/>
              </w:rPr>
              <w:t>7.</w:t>
            </w:r>
          </w:p>
        </w:tc>
        <w:tc>
          <w:tcPr>
            <w:tcW w:w="8373" w:type="dxa"/>
          </w:tcPr>
          <w:p w:rsidR="00F85C99" w:rsidRPr="002F6A28" w:rsidP="002F6A28" w14:paraId="20DA04BE" w14:textId="77777777">
            <w:pPr>
              <w:spacing w:before="120" w:after="120"/>
              <w:rPr>
                <w:b/>
              </w:rPr>
            </w:pPr>
            <w:r w:rsidRPr="002F6A28">
              <w:rPr>
                <w:b/>
              </w:rPr>
              <w:t>Objective and rationale, including the nature of urgent problems where applicable:</w:t>
            </w:r>
            <w:r w:rsidRPr="00C379C8" w:rsidR="00EE3A11">
              <w:t xml:space="preserve"> To provide guidance for necessary measures to be taken when biological raw materials are used in manufacturing drugs, etc.</w:t>
            </w:r>
          </w:p>
        </w:tc>
      </w:tr>
      <w:tr w14:paraId="279A0D2A" w14:textId="77777777" w:rsidTr="00DB13FE">
        <w:tblPrEx>
          <w:tblW w:w="5000" w:type="pct"/>
          <w:tblLayout w:type="fixed"/>
          <w:tblLook w:val="0000"/>
        </w:tblPrEx>
        <w:tc>
          <w:tcPr>
            <w:tcW w:w="607" w:type="dxa"/>
          </w:tcPr>
          <w:p w:rsidR="00F85C99" w:rsidRPr="002F6A28" w:rsidP="009E75ED" w14:paraId="52145C4B" w14:textId="77777777">
            <w:pPr>
              <w:spacing w:before="120" w:after="120"/>
              <w:jc w:val="left"/>
              <w:rPr>
                <w:b/>
              </w:rPr>
            </w:pPr>
            <w:r w:rsidRPr="002F6A28">
              <w:rPr>
                <w:b/>
              </w:rPr>
              <w:t>8.</w:t>
            </w:r>
          </w:p>
        </w:tc>
        <w:tc>
          <w:tcPr>
            <w:tcW w:w="8373" w:type="dxa"/>
          </w:tcPr>
          <w:p w:rsidR="000C3B6C" w:rsidRPr="00EC00D2" w:rsidP="007F13E8" w14:paraId="72257A17" w14:textId="77777777">
            <w:pPr>
              <w:spacing w:before="120" w:after="120"/>
              <w:rPr>
                <w:bCs/>
              </w:rPr>
            </w:pPr>
            <w:r w:rsidRPr="002F6A28">
              <w:rPr>
                <w:b/>
              </w:rPr>
              <w:t>Relevant documents:</w:t>
            </w:r>
            <w:r w:rsidRPr="002F6A28" w:rsidR="00EE3A11">
              <w:t xml:space="preserve"> </w:t>
            </w:r>
          </w:p>
          <w:p w:rsidR="00EE3A11" w:rsidRPr="002F6A28" w:rsidP="007F13E8" w14:paraId="22C9C42F" w14:textId="77777777">
            <w:pPr>
              <w:spacing w:before="120" w:after="120"/>
            </w:pPr>
            <w:r w:rsidRPr="002F6A28">
              <w:t>The Law on Securing Quality, Efficacy and Safety of Products Including Pharmaceuticals and Medical Devices. This amendment will be published in "</w:t>
            </w:r>
            <w:r w:rsidRPr="002F6A28">
              <w:rPr>
                <w:i/>
                <w:iCs/>
              </w:rPr>
              <w:t>KAMPO</w:t>
            </w:r>
            <w:r w:rsidRPr="002F6A28">
              <w:t>" (Official Gazette) when adopted.</w:t>
            </w:r>
          </w:p>
          <w:p w:rsidR="00EE3A11" w:rsidRPr="002F6A28" w:rsidP="007F13E8" w14:paraId="3178146B" w14:textId="77777777">
            <w:pPr>
              <w:spacing w:before="120" w:after="120"/>
            </w:pPr>
            <w:r w:rsidRPr="002F6A28">
              <w:rPr>
                <w:b/>
                <w:bCs/>
              </w:rPr>
              <w:t>Relevant notifications:</w:t>
            </w:r>
          </w:p>
          <w:p w:rsidR="00EE3A11" w:rsidRPr="002F6A28" w:rsidP="007F13E8" w14:paraId="66B42270" w14:textId="77777777">
            <w:pPr>
              <w:numPr>
                <w:ilvl w:val="0"/>
                <w:numId w:val="17"/>
              </w:numPr>
              <w:spacing w:before="120" w:after="120"/>
            </w:pPr>
            <w:hyperlink r:id="rId7" w:history="1">
              <w:r w:rsidRPr="002F6A28">
                <w:rPr>
                  <w:color w:val="0000FF"/>
                  <w:u w:val="single"/>
                </w:rPr>
                <w:t>G/TBT/N/JPN/573</w:t>
              </w:r>
            </w:hyperlink>
          </w:p>
        </w:tc>
      </w:tr>
      <w:tr w14:paraId="25808DD5" w14:textId="77777777" w:rsidTr="00DB13FE">
        <w:tblPrEx>
          <w:tblW w:w="5000" w:type="pct"/>
          <w:tblLayout w:type="fixed"/>
          <w:tblLook w:val="0000"/>
        </w:tblPrEx>
        <w:tc>
          <w:tcPr>
            <w:tcW w:w="607" w:type="dxa"/>
          </w:tcPr>
          <w:p w:rsidR="00EE3A11" w:rsidRPr="002F6A28" w:rsidP="002F6A28" w14:paraId="5BF7BC01" w14:textId="77777777">
            <w:pPr>
              <w:spacing w:before="120" w:after="120"/>
              <w:jc w:val="left"/>
              <w:rPr>
                <w:b/>
              </w:rPr>
            </w:pPr>
            <w:r w:rsidRPr="002F6A28">
              <w:rPr>
                <w:b/>
              </w:rPr>
              <w:t>9.</w:t>
            </w:r>
          </w:p>
        </w:tc>
        <w:tc>
          <w:tcPr>
            <w:tcW w:w="8373" w:type="dxa"/>
          </w:tcPr>
          <w:p w:rsidR="00EE3A11" w:rsidRPr="002F6A28" w:rsidP="008953C4" w14:paraId="49F45199" w14:textId="77777777">
            <w:pPr>
              <w:spacing w:before="120" w:after="120"/>
            </w:pPr>
            <w:r w:rsidRPr="002F6A28">
              <w:rPr>
                <w:b/>
              </w:rPr>
              <w:t>Proposed date of adoption:</w:t>
            </w:r>
            <w:r w:rsidRPr="00C379C8">
              <w:t xml:space="preserve"> March 2026</w:t>
            </w:r>
          </w:p>
          <w:p w:rsidR="00EE3A11" w:rsidRPr="002F6A28" w:rsidP="008953C4" w14:paraId="3CEB2F40" w14:textId="77777777">
            <w:pPr>
              <w:spacing w:after="120"/>
            </w:pPr>
            <w:r w:rsidRPr="002F6A28">
              <w:rPr>
                <w:b/>
              </w:rPr>
              <w:t>Proposed date of entry into force:</w:t>
            </w:r>
            <w:r w:rsidRPr="00C379C8">
              <w:t xml:space="preserve"> March 2026</w:t>
            </w:r>
          </w:p>
        </w:tc>
      </w:tr>
      <w:tr w14:paraId="2AC24540" w14:textId="77777777" w:rsidTr="00DB13FE">
        <w:tblPrEx>
          <w:tblW w:w="5000" w:type="pct"/>
          <w:tblLayout w:type="fixed"/>
          <w:tblLook w:val="0000"/>
        </w:tblPrEx>
        <w:tc>
          <w:tcPr>
            <w:tcW w:w="607" w:type="dxa"/>
            <w:tcBorders>
              <w:bottom w:val="double" w:sz="4" w:space="0" w:color="auto"/>
            </w:tcBorders>
          </w:tcPr>
          <w:p w:rsidR="00F85C99" w:rsidRPr="002F6A28" w:rsidP="002F6A28" w14:paraId="4FCDE73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92C03B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978269" w14:textId="77777777">
            <w:pPr>
              <w:spacing w:before="120" w:after="120"/>
              <w:rPr>
                <w:bCs/>
              </w:rPr>
            </w:pPr>
            <w:r w:rsidRPr="002F6A28">
              <w:rPr>
                <w:b/>
              </w:rPr>
              <w:t>Final date for comments:</w:t>
            </w:r>
            <w:r w:rsidRPr="00C379C8" w:rsidR="00EE3A11">
              <w:t xml:space="preserve"> 24 March 2026</w:t>
            </w:r>
          </w:p>
          <w:p w:rsidR="000C3B6C" w:rsidRPr="00E3324D" w:rsidP="000C3B6C" w14:paraId="0772C47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E71C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2F3292" w14:textId="77777777">
            <w:r w:rsidRPr="00CE6C29">
              <w:t>Japan Enquiry Point</w:t>
            </w:r>
          </w:p>
          <w:p w:rsidR="00CE6C29" w:rsidRPr="00CE6C29" w:rsidP="000C3B6C" w14:paraId="6EB3EC4B" w14:textId="77777777">
            <w:r w:rsidRPr="00CE6C29">
              <w:t>International Trade Division,</w:t>
            </w:r>
          </w:p>
          <w:p w:rsidR="00CE6C29" w:rsidRPr="00CE6C29" w:rsidP="000C3B6C" w14:paraId="077CF09C" w14:textId="77777777">
            <w:r w:rsidRPr="00CE6C29">
              <w:t>Economic Affairs Bureau,</w:t>
            </w:r>
          </w:p>
          <w:p w:rsidR="00CE6C29" w:rsidRPr="00CE6C29" w:rsidP="000C3B6C" w14:paraId="5F2751C8" w14:textId="77777777">
            <w:r w:rsidRPr="00CE6C29">
              <w:t>Ministry of Foreign Affairs</w:t>
            </w:r>
          </w:p>
          <w:p w:rsidR="00CE6C29" w:rsidRPr="00CE6C29" w:rsidP="000C3B6C" w14:paraId="02795FF1" w14:textId="77777777">
            <w:r w:rsidRPr="00CE6C29">
              <w:t>Fax: (+81 3) 5501 8343</w:t>
            </w:r>
          </w:p>
          <w:p w:rsidR="00CE6C29" w:rsidRPr="00CE6C29" w:rsidP="000C3B6C" w14:paraId="056264D0" w14:textId="77777777">
            <w:pPr>
              <w:spacing w:after="120"/>
            </w:pPr>
            <w:r w:rsidRPr="00CE6C29">
              <w:t xml:space="preserve">E-mail: </w:t>
            </w:r>
            <w:hyperlink r:id="rId6" w:history="1">
              <w:r w:rsidRPr="00CE6C29">
                <w:rPr>
                  <w:color w:val="0000FF"/>
                  <w:u w:val="single"/>
                </w:rPr>
                <w:t>enquiry@mofa.go.jp</w:t>
              </w:r>
            </w:hyperlink>
          </w:p>
        </w:tc>
      </w:tr>
    </w:tbl>
    <w:p w:rsidR="00EE3A11" w:rsidRPr="002F6A28" w:rsidP="00887259" w14:paraId="79E76FD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145D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1AAE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68F85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27C304" w14:textId="77777777">
    <w:pPr>
      <w:pStyle w:val="Header"/>
      <w:pBdr>
        <w:bottom w:val="single" w:sz="4" w:space="1" w:color="auto"/>
      </w:pBdr>
      <w:tabs>
        <w:tab w:val="clear" w:pos="4513"/>
        <w:tab w:val="clear" w:pos="9027"/>
      </w:tabs>
      <w:jc w:val="center"/>
    </w:pPr>
    <w:r w:rsidRPr="002F6A28">
      <w:t>tbtSymbol</w:t>
    </w:r>
  </w:p>
  <w:p w:rsidR="009239F7" w:rsidRPr="002F6A28" w:rsidP="009239F7" w14:paraId="227154F0" w14:textId="77777777">
    <w:pPr>
      <w:pStyle w:val="Header"/>
      <w:pBdr>
        <w:bottom w:val="single" w:sz="4" w:space="1" w:color="auto"/>
      </w:pBdr>
      <w:tabs>
        <w:tab w:val="clear" w:pos="4513"/>
        <w:tab w:val="clear" w:pos="9027"/>
      </w:tabs>
      <w:jc w:val="center"/>
    </w:pPr>
  </w:p>
  <w:p w:rsidR="009239F7" w:rsidRPr="002F6A28" w:rsidP="009239F7" w14:paraId="70D435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17758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578750" w14:textId="77777777">
    <w:pPr>
      <w:pStyle w:val="Header"/>
      <w:pBdr>
        <w:bottom w:val="single" w:sz="4" w:space="1" w:color="auto"/>
      </w:pBdr>
      <w:tabs>
        <w:tab w:val="clear" w:pos="4513"/>
        <w:tab w:val="clear" w:pos="9027"/>
      </w:tabs>
      <w:jc w:val="center"/>
    </w:pPr>
    <w:bookmarkStart w:id="0" w:name="spsSymbolHeader"/>
    <w:r w:rsidRPr="002F6A28">
      <w:t>G/TBT/N/JPN/898</w:t>
    </w:r>
    <w:bookmarkEnd w:id="0"/>
  </w:p>
  <w:p w:rsidR="009239F7" w:rsidRPr="002F6A28" w:rsidP="009239F7" w14:paraId="74EF0737" w14:textId="77777777">
    <w:pPr>
      <w:pStyle w:val="Header"/>
      <w:pBdr>
        <w:bottom w:val="single" w:sz="4" w:space="1" w:color="auto"/>
      </w:pBdr>
      <w:tabs>
        <w:tab w:val="clear" w:pos="4513"/>
        <w:tab w:val="clear" w:pos="9027"/>
      </w:tabs>
      <w:jc w:val="center"/>
    </w:pPr>
  </w:p>
  <w:p w:rsidR="009239F7" w:rsidRPr="002F6A28" w:rsidP="009239F7" w14:paraId="10F4AC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8153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500EE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0C33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1121F1" w14:textId="77777777">
          <w:pPr>
            <w:jc w:val="right"/>
            <w:rPr>
              <w:b/>
              <w:color w:val="FF0000"/>
              <w:szCs w:val="16"/>
            </w:rPr>
          </w:pPr>
        </w:p>
      </w:tc>
    </w:tr>
    <w:bookmarkEnd w:id="1"/>
    <w:tr w14:paraId="1B9E09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59043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03B0B0" w14:textId="77777777">
          <w:pPr>
            <w:jc w:val="right"/>
            <w:rPr>
              <w:b/>
              <w:szCs w:val="16"/>
            </w:rPr>
          </w:pPr>
        </w:p>
      </w:tc>
    </w:tr>
    <w:tr w14:paraId="1FD8DC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D8E0F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3B2A76" w14:textId="77777777">
          <w:pPr>
            <w:jc w:val="right"/>
            <w:rPr>
              <w:b/>
              <w:szCs w:val="16"/>
            </w:rPr>
          </w:pPr>
          <w:bookmarkStart w:id="2" w:name="bmkSymbols"/>
          <w:r w:rsidRPr="002F6A28">
            <w:rPr>
              <w:b/>
              <w:szCs w:val="16"/>
            </w:rPr>
            <w:t>G/TBT/N/JPN/898</w:t>
          </w:r>
          <w:bookmarkEnd w:id="2"/>
        </w:p>
      </w:tc>
    </w:tr>
    <w:tr w14:paraId="7A80C9C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973463" w14:textId="77777777"/>
      </w:tc>
      <w:tc>
        <w:tcPr>
          <w:tcW w:w="5448" w:type="dxa"/>
          <w:gridSpan w:val="2"/>
          <w:shd w:val="clear" w:color="auto" w:fill="FFFFFF"/>
          <w:tcMar>
            <w:left w:w="108" w:type="dxa"/>
            <w:right w:w="108" w:type="dxa"/>
          </w:tcMar>
          <w:vAlign w:val="center"/>
        </w:tcPr>
        <w:p w:rsidR="00ED54E0" w:rsidRPr="009239F7" w:rsidP="00B801E9" w14:paraId="0CC19BC0" w14:textId="77777777">
          <w:pPr>
            <w:jc w:val="right"/>
            <w:rPr>
              <w:szCs w:val="16"/>
            </w:rPr>
          </w:pPr>
          <w:bookmarkStart w:id="3" w:name="spsDateDistribution"/>
          <w:bookmarkStart w:id="4" w:name="bmkDate"/>
          <w:r w:rsidRPr="009239F7">
            <w:rPr>
              <w:szCs w:val="16"/>
            </w:rPr>
            <w:t>23 January 2026</w:t>
          </w:r>
          <w:bookmarkEnd w:id="3"/>
          <w:bookmarkEnd w:id="4"/>
        </w:p>
      </w:tc>
    </w:tr>
    <w:tr w14:paraId="5C31E8D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CA8807" w14:textId="77777777">
          <w:pPr>
            <w:jc w:val="left"/>
            <w:rPr>
              <w:b/>
            </w:rPr>
          </w:pPr>
          <w:bookmarkStart w:id="5" w:name="bmkSerial"/>
          <w:r>
            <w:rPr>
              <w:rFonts w:ascii="Verdana" w:eastAsia="Verdana" w:hAnsi="Verdana" w:cs="Verdana"/>
              <w:b w:val="0"/>
              <w:color w:val="FF0000"/>
              <w:sz w:val="18"/>
            </w:rPr>
            <w:t>(26-0491)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9D144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28C508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BF30B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BBB7F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BFA09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51300479">
    <w:abstractNumId w:val="9"/>
  </w:num>
  <w:num w:numId="2" w16cid:durableId="554052788">
    <w:abstractNumId w:val="7"/>
  </w:num>
  <w:num w:numId="3" w16cid:durableId="1748726365">
    <w:abstractNumId w:val="6"/>
  </w:num>
  <w:num w:numId="4" w16cid:durableId="1899395387">
    <w:abstractNumId w:val="5"/>
  </w:num>
  <w:num w:numId="5" w16cid:durableId="1130787986">
    <w:abstractNumId w:val="4"/>
  </w:num>
  <w:num w:numId="6" w16cid:durableId="1912303990">
    <w:abstractNumId w:val="12"/>
  </w:num>
  <w:num w:numId="7" w16cid:durableId="1724668517">
    <w:abstractNumId w:val="11"/>
  </w:num>
  <w:num w:numId="8" w16cid:durableId="1940720001">
    <w:abstractNumId w:val="10"/>
  </w:num>
  <w:num w:numId="9" w16cid:durableId="2042777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285672">
    <w:abstractNumId w:val="13"/>
  </w:num>
  <w:num w:numId="11" w16cid:durableId="787315651">
    <w:abstractNumId w:val="8"/>
  </w:num>
  <w:num w:numId="12" w16cid:durableId="450898109">
    <w:abstractNumId w:val="3"/>
  </w:num>
  <w:num w:numId="13" w16cid:durableId="861018884">
    <w:abstractNumId w:val="2"/>
  </w:num>
  <w:num w:numId="14" w16cid:durableId="1491556212">
    <w:abstractNumId w:val="1"/>
  </w:num>
  <w:num w:numId="15" w16cid:durableId="1072314017">
    <w:abstractNumId w:val="0"/>
  </w:num>
  <w:num w:numId="16" w16cid:durableId="1546522779">
    <w:abstractNumId w:val="14"/>
  </w:num>
  <w:num w:numId="17" w16cid:durableId="1906138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37A8"/>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570D"/>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1F62"/>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3023"/>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886C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JPN/26_00463_00_e.pdf" TargetMode="External" /><Relationship Id="rId6" Type="http://schemas.openxmlformats.org/officeDocument/2006/relationships/hyperlink" Target="mailto:enquiry@mofa.go.jp" TargetMode="External" /><Relationship Id="rId7" Type="http://schemas.openxmlformats.org/officeDocument/2006/relationships/hyperlink" Target="https://eping.wto.org/en/Search/Index?viewData=G/TBT/N/JPN/573"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2026-01-23T09:36:00Z</dcterms:created>
  <dcterms:modified xsi:type="dcterms:W3CDTF">2026-01-23T09:36:00Z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