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97BD5FF" w14:textId="77777777">
      <w:pPr>
        <w:pStyle w:val="Title"/>
        <w:rPr>
          <w:caps w:val="0"/>
          <w:kern w:val="0"/>
        </w:rPr>
      </w:pPr>
      <w:r w:rsidRPr="002F6A28">
        <w:rPr>
          <w:caps w:val="0"/>
          <w:kern w:val="0"/>
        </w:rPr>
        <w:t>NOTIFICATION</w:t>
      </w:r>
    </w:p>
    <w:p w:rsidR="009239F7" w:rsidRPr="002F6A28" w:rsidP="002F6A28" w14:paraId="6ECD5D18" w14:textId="77777777">
      <w:pPr>
        <w:jc w:val="center"/>
      </w:pPr>
      <w:r w:rsidRPr="002F6A28">
        <w:t>The following notification is being circulated in accordance with Article 10.6</w:t>
      </w:r>
    </w:p>
    <w:p w:rsidR="009239F7" w:rsidRPr="002F6A28" w:rsidP="002F6A28" w14:paraId="57794A2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C124CF" w14:textId="77777777" w:rsidTr="00DB13FE">
        <w:tblPrEx>
          <w:tblW w:w="5000" w:type="pct"/>
          <w:tblLayout w:type="fixed"/>
          <w:tblLook w:val="0000"/>
        </w:tblPrEx>
        <w:tc>
          <w:tcPr>
            <w:tcW w:w="607" w:type="dxa"/>
            <w:tcBorders>
              <w:top w:val="double" w:sz="4" w:space="0" w:color="auto"/>
            </w:tcBorders>
          </w:tcPr>
          <w:p w:rsidR="00F85C99" w:rsidRPr="002F6A28" w:rsidP="002F6A28" w14:paraId="631F358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F564B92" w14:textId="77777777">
            <w:pPr>
              <w:spacing w:before="120" w:after="120"/>
            </w:pPr>
            <w:r w:rsidRPr="002F6A28">
              <w:rPr>
                <w:b/>
              </w:rPr>
              <w:t>Notifying Member:</w:t>
            </w:r>
            <w:r w:rsidRPr="00C92678" w:rsidR="00EE3A11">
              <w:t xml:space="preserve"> </w:t>
            </w:r>
            <w:r w:rsidRPr="00C92678" w:rsidR="00EE3A11">
              <w:rPr>
                <w:u w:val="single"/>
              </w:rPr>
              <w:t>TÜRKIYE</w:t>
            </w:r>
          </w:p>
          <w:p w:rsidR="00F85C99" w:rsidRPr="002F6A28" w:rsidP="002F6A28" w14:paraId="6C9E08B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A9DBF02" w14:textId="77777777" w:rsidTr="00DB13FE">
        <w:tblPrEx>
          <w:tblW w:w="5000" w:type="pct"/>
          <w:tblLayout w:type="fixed"/>
          <w:tblLook w:val="0000"/>
        </w:tblPrEx>
        <w:tc>
          <w:tcPr>
            <w:tcW w:w="607" w:type="dxa"/>
          </w:tcPr>
          <w:p w:rsidR="00F85C99" w:rsidRPr="002F6A28" w:rsidP="002F6A28" w14:paraId="5DADC1E2" w14:textId="77777777">
            <w:pPr>
              <w:spacing w:before="120" w:after="120"/>
              <w:jc w:val="left"/>
            </w:pPr>
            <w:r w:rsidRPr="002F6A28">
              <w:rPr>
                <w:b/>
              </w:rPr>
              <w:t>2.</w:t>
            </w:r>
          </w:p>
        </w:tc>
        <w:tc>
          <w:tcPr>
            <w:tcW w:w="8373" w:type="dxa"/>
          </w:tcPr>
          <w:p w:rsidR="00F85C99" w:rsidRPr="002F6A28" w:rsidP="000C3B6C" w14:paraId="6DF3ED24" w14:textId="77777777">
            <w:pPr>
              <w:spacing w:before="120" w:after="120"/>
            </w:pPr>
            <w:r w:rsidRPr="002F6A28">
              <w:rPr>
                <w:b/>
              </w:rPr>
              <w:t>Agency responsible:</w:t>
            </w:r>
            <w:r w:rsidRPr="00C379C8" w:rsidR="00EE3A11">
              <w:t xml:space="preserve"> </w:t>
            </w:r>
          </w:p>
          <w:p w:rsidR="00EE3A11" w:rsidRPr="00C379C8" w:rsidP="000C3B6C" w14:paraId="41DD6973" w14:textId="77777777">
            <w:r w:rsidRPr="00C379C8">
              <w:t>Ministry of Industry and Technology</w:t>
            </w:r>
          </w:p>
          <w:p w:rsidR="00EE3A11" w:rsidRPr="00C379C8" w:rsidP="000C3B6C" w14:paraId="662345DB" w14:textId="77777777">
            <w:r w:rsidRPr="00C379C8">
              <w:t>DG for EU and Foreign Affairs</w:t>
            </w:r>
          </w:p>
          <w:p w:rsidR="00EE3A11" w:rsidRPr="00C379C8" w:rsidP="000C3B6C" w14:paraId="723BBDAB" w14:textId="77777777">
            <w:r w:rsidRPr="00C379C8">
              <w:t>Mustafa Kemal Mah. Dumlupinar Bulvari Eskişehir Yolu 2151. Cad. No:154 Cankaya -</w:t>
            </w:r>
          </w:p>
          <w:p w:rsidR="00EE3A11" w:rsidRPr="00C379C8" w:rsidP="000C3B6C" w14:paraId="78E84486" w14:textId="77777777">
            <w:r w:rsidRPr="00C379C8">
              <w:t>Ankara/ Türkiye</w:t>
            </w:r>
          </w:p>
          <w:p w:rsidR="00EE3A11" w:rsidRPr="00C379C8" w:rsidP="000C3B6C" w14:paraId="0199CF2E" w14:textId="77777777">
            <w:r w:rsidRPr="00C379C8">
              <w:t xml:space="preserve">E-mail: </w:t>
            </w:r>
            <w:hyperlink r:id="rId6" w:history="1">
              <w:r w:rsidRPr="00C379C8">
                <w:rPr>
                  <w:color w:val="0000FF"/>
                  <w:u w:val="single"/>
                </w:rPr>
                <w:t>busra.tufan@sanayi.gov.tr</w:t>
              </w:r>
            </w:hyperlink>
          </w:p>
          <w:p w:rsidR="00EE3A11" w:rsidRPr="00C379C8" w:rsidP="000C3B6C" w14:paraId="04ADCCFD" w14:textId="77777777">
            <w:pPr>
              <w:spacing w:after="120"/>
            </w:pPr>
            <w:r w:rsidRPr="00C379C8">
              <w:t xml:space="preserve">E-mail 2: </w:t>
            </w:r>
            <w:hyperlink r:id="rId7" w:history="1">
              <w:r w:rsidRPr="00C379C8">
                <w:rPr>
                  <w:color w:val="0000FF"/>
                  <w:u w:val="single"/>
                </w:rPr>
                <w:t>aysenur.gokturk@sanayi.gov.tr</w:t>
              </w:r>
            </w:hyperlink>
          </w:p>
        </w:tc>
      </w:tr>
      <w:tr w14:paraId="145FF75A" w14:textId="77777777" w:rsidTr="00DB13FE">
        <w:tblPrEx>
          <w:tblW w:w="5000" w:type="pct"/>
          <w:tblLayout w:type="fixed"/>
          <w:tblLook w:val="0000"/>
        </w:tblPrEx>
        <w:tc>
          <w:tcPr>
            <w:tcW w:w="607" w:type="dxa"/>
          </w:tcPr>
          <w:p w:rsidR="00F85C99" w:rsidRPr="002F6A28" w:rsidP="002F6A28" w14:paraId="30B57E6F" w14:textId="77777777">
            <w:pPr>
              <w:spacing w:before="120" w:after="120"/>
              <w:jc w:val="left"/>
              <w:rPr>
                <w:b/>
              </w:rPr>
            </w:pPr>
            <w:r w:rsidRPr="002F6A28">
              <w:rPr>
                <w:b/>
              </w:rPr>
              <w:t>3.</w:t>
            </w:r>
          </w:p>
        </w:tc>
        <w:tc>
          <w:tcPr>
            <w:tcW w:w="8373" w:type="dxa"/>
          </w:tcPr>
          <w:p w:rsidR="00F85C99" w:rsidRPr="0058336F" w:rsidP="002F6A28" w14:paraId="3DC0469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65B9F8" w14:textId="77777777" w:rsidTr="00DB13FE">
        <w:tblPrEx>
          <w:tblW w:w="5000" w:type="pct"/>
          <w:tblLayout w:type="fixed"/>
          <w:tblLook w:val="0000"/>
        </w:tblPrEx>
        <w:tc>
          <w:tcPr>
            <w:tcW w:w="607" w:type="dxa"/>
          </w:tcPr>
          <w:p w:rsidR="00F85C99" w:rsidRPr="002F6A28" w:rsidP="002F6A28" w14:paraId="40A106E5" w14:textId="77777777">
            <w:pPr>
              <w:spacing w:before="120" w:after="120"/>
              <w:jc w:val="left"/>
            </w:pPr>
            <w:r w:rsidRPr="002F6A28">
              <w:rPr>
                <w:b/>
              </w:rPr>
              <w:t>4.</w:t>
            </w:r>
          </w:p>
        </w:tc>
        <w:tc>
          <w:tcPr>
            <w:tcW w:w="8373" w:type="dxa"/>
          </w:tcPr>
          <w:p w:rsidR="00F85C99" w:rsidRPr="002F6A28" w:rsidP="002F6A28" w14:paraId="7C9258C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All physical products, including components and intermediate products, that are placed on the market or put into service.</w:t>
            </w:r>
          </w:p>
        </w:tc>
      </w:tr>
      <w:tr w14:paraId="518BA4DD" w14:textId="77777777" w:rsidTr="00DB13FE">
        <w:tblPrEx>
          <w:tblW w:w="5000" w:type="pct"/>
          <w:tblLayout w:type="fixed"/>
          <w:tblLook w:val="0000"/>
        </w:tblPrEx>
        <w:tc>
          <w:tcPr>
            <w:tcW w:w="607" w:type="dxa"/>
          </w:tcPr>
          <w:p w:rsidR="00F85C99" w:rsidRPr="002F6A28" w:rsidP="002F6A28" w14:paraId="7A9C1E8E" w14:textId="77777777">
            <w:pPr>
              <w:spacing w:before="120" w:after="120"/>
              <w:jc w:val="left"/>
            </w:pPr>
            <w:r w:rsidRPr="002F6A28">
              <w:rPr>
                <w:b/>
              </w:rPr>
              <w:t>5.</w:t>
            </w:r>
          </w:p>
        </w:tc>
        <w:tc>
          <w:tcPr>
            <w:tcW w:w="8373" w:type="dxa"/>
          </w:tcPr>
          <w:p w:rsidR="00F85C99" w:rsidP="002F6A28" w14:paraId="524D280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FRAMEWORK REGULATION ON ECODESIGN REQUIREMENTS FOR SUSTAINABLE PRODUCTS; (17 page(s), in English)</w:t>
            </w:r>
          </w:p>
          <w:p w:rsidR="000C3B6C" w:rsidRPr="000C3B6C" w:rsidP="002F6A28" w14:paraId="75051A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B6050" w:rsidRPr="00CE6C29" w:rsidP="002F6A28" w14:paraId="5FC988A2"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https://members.wto.org/crnattachments/2026/TBT/TUR/26_00428_00_e.pdf</w:t>
              </w:r>
            </w:hyperlink>
          </w:p>
        </w:tc>
      </w:tr>
      <w:tr w14:paraId="07608BA3" w14:textId="77777777" w:rsidTr="00DB13FE">
        <w:tblPrEx>
          <w:tblW w:w="5000" w:type="pct"/>
          <w:tblLayout w:type="fixed"/>
          <w:tblLook w:val="0000"/>
        </w:tblPrEx>
        <w:tc>
          <w:tcPr>
            <w:tcW w:w="607" w:type="dxa"/>
          </w:tcPr>
          <w:p w:rsidR="00F85C99" w:rsidRPr="002F6A28" w:rsidP="002F6A28" w14:paraId="75408F58" w14:textId="77777777">
            <w:pPr>
              <w:spacing w:before="120" w:after="120"/>
              <w:jc w:val="left"/>
              <w:rPr>
                <w:b/>
              </w:rPr>
            </w:pPr>
            <w:r w:rsidRPr="002F6A28">
              <w:rPr>
                <w:b/>
              </w:rPr>
              <w:t>6.</w:t>
            </w:r>
          </w:p>
        </w:tc>
        <w:tc>
          <w:tcPr>
            <w:tcW w:w="8373" w:type="dxa"/>
          </w:tcPr>
          <w:p w:rsidR="00F85C99" w:rsidRPr="002F6A28" w:rsidP="002F6A28" w14:paraId="48C813BC" w14:textId="77777777">
            <w:pPr>
              <w:spacing w:before="120" w:after="120"/>
              <w:rPr>
                <w:b/>
              </w:rPr>
            </w:pPr>
            <w:r w:rsidRPr="002F6A28">
              <w:rPr>
                <w:b/>
              </w:rPr>
              <w:t>Description of content:</w:t>
            </w:r>
            <w:r w:rsidRPr="00C379C8" w:rsidR="00FE448B">
              <w:t xml:space="preserve"> (1) This Regulation shall apply to all physical products, including components and intermediate products, that are placed on the market or put into service, with the exception of the following:</w:t>
            </w:r>
          </w:p>
          <w:p w:rsidR="00FE448B" w:rsidRPr="00C379C8" w:rsidP="002F6A28" w14:paraId="3EA9FB5F" w14:textId="77777777">
            <w:pPr>
              <w:spacing w:before="120" w:after="120"/>
            </w:pPr>
            <w:r w:rsidRPr="00C379C8">
              <w:t>a) Food as defined in paragraph 24 of the first clause of Article 3 of the Veterinary Services, Plant Health, Food and Feed Law, numbered 5996 and dated 11/6/2010.</w:t>
            </w:r>
          </w:p>
          <w:p w:rsidR="00FE448B" w:rsidRPr="00C379C8" w:rsidP="002F6A28" w14:paraId="1A1D50D1" w14:textId="77777777">
            <w:pPr>
              <w:spacing w:before="120" w:after="120"/>
            </w:pPr>
            <w:r w:rsidRPr="00C379C8">
              <w:t>b) Feed as defined in paragraph 79 of the first clause of Article 3 of the Veterinary Services, Plant Health, Food and Feed Law, numbered 5996 and dated 11/6/2010.</w:t>
            </w:r>
          </w:p>
          <w:p w:rsidR="00FE448B" w:rsidRPr="00C379C8" w:rsidP="002F6A28" w14:paraId="71B22B94" w14:textId="77777777">
            <w:pPr>
              <w:spacing w:before="120" w:after="120"/>
            </w:pPr>
            <w:r w:rsidRPr="00C379C8">
              <w:t>c) Medicinal products for human use as defined in subparagraph (b) of the first clause of Article 4 of the Regulation on the Licensing of Medicinal Products for Human Use, published in the Official Gazette numbered 31686 and dated 11/12/2021.</w:t>
            </w:r>
          </w:p>
          <w:p w:rsidR="00FE448B" w:rsidRPr="00C379C8" w:rsidP="002F6A28" w14:paraId="5B3EBBCF" w14:textId="77777777">
            <w:pPr>
              <w:spacing w:before="120" w:after="120"/>
            </w:pPr>
            <w:r w:rsidRPr="00C379C8">
              <w:t>ç) Veterinary medicinal products as defined in subparagraph (kk) of the first clause of Article 4 of the Regulation on Veterinary Medicinal Products, published in the Official Gazette numbered 28152 and dated 24/12/2011.</w:t>
            </w:r>
          </w:p>
          <w:p w:rsidR="00FE448B" w:rsidRPr="00C379C8" w:rsidP="002F6A28" w14:paraId="10B7D589" w14:textId="77777777">
            <w:pPr>
              <w:spacing w:before="120" w:after="120"/>
            </w:pPr>
            <w:r w:rsidRPr="00C379C8">
              <w:t>d) Live plants, animals, and microorganisms.</w:t>
            </w:r>
          </w:p>
          <w:p w:rsidR="00FE448B" w:rsidRPr="00C379C8" w:rsidP="002F6A28" w14:paraId="77879A5E" w14:textId="77777777">
            <w:pPr>
              <w:spacing w:before="120" w:after="120"/>
            </w:pPr>
            <w:r w:rsidRPr="00C379C8">
              <w:t>e) Products of human origin.</w:t>
            </w:r>
          </w:p>
          <w:p w:rsidR="00FE448B" w:rsidRPr="00C379C8" w:rsidP="002F6A28" w14:paraId="283A11CB" w14:textId="77777777">
            <w:pPr>
              <w:spacing w:before="120" w:after="120"/>
            </w:pPr>
            <w:r w:rsidRPr="00C379C8">
              <w:t>f) Plant and animal products directly related to their future reproduction.</w:t>
            </w:r>
          </w:p>
          <w:p w:rsidR="00FE448B" w:rsidRPr="00C379C8" w:rsidP="002F6A28" w14:paraId="56C96625" w14:textId="77777777">
            <w:pPr>
              <w:spacing w:before="120" w:after="120"/>
            </w:pPr>
            <w:r w:rsidRPr="00C379C8">
              <w:t>g) Vehicles as defined in the second clause of Article 1 of the Regulation on Type-Approval and Market Surveillance of Agricultural and Forestry Vehicles (EU/167/2013), published in the Official Gazette numbered 29088 and dated 14/08/2014; the third clause of Article 1 of the Regulation on Type-Approval and Market Surveillance of Two- or Three-Wheel Vehicles and Quadricycles (EU/168/2013), published in the Official Gazette numbered 29453 and dated 22/08/2015; and the fourth clause of Article 1 of the Regula</w:t>
            </w:r>
            <w:r w:rsidRPr="00C379C8">
              <w:t>tion on the Type-Approval and Market Surveillance of Motor Vehicles and Trailers, and Systems, Components and Separate Technical Units Intended Therefor (EU/2018/858), published in the Official Gazette numbered 31104 and dated 19/04/2020.</w:t>
            </w:r>
          </w:p>
        </w:tc>
      </w:tr>
      <w:tr w14:paraId="47A8BC7A" w14:textId="77777777" w:rsidTr="00DB13FE">
        <w:tblPrEx>
          <w:tblW w:w="5000" w:type="pct"/>
          <w:tblLayout w:type="fixed"/>
          <w:tblLook w:val="0000"/>
        </w:tblPrEx>
        <w:tc>
          <w:tcPr>
            <w:tcW w:w="607" w:type="dxa"/>
          </w:tcPr>
          <w:p w:rsidR="00F85C99" w:rsidRPr="002F6A28" w:rsidP="002F6A28" w14:paraId="1DD998CD" w14:textId="77777777">
            <w:pPr>
              <w:spacing w:before="120" w:after="120"/>
              <w:jc w:val="left"/>
              <w:rPr>
                <w:b/>
              </w:rPr>
            </w:pPr>
            <w:r w:rsidRPr="002F6A28">
              <w:rPr>
                <w:b/>
              </w:rPr>
              <w:t>7.</w:t>
            </w:r>
          </w:p>
        </w:tc>
        <w:tc>
          <w:tcPr>
            <w:tcW w:w="8373" w:type="dxa"/>
          </w:tcPr>
          <w:p w:rsidR="00F85C99" w:rsidRPr="002F6A28" w:rsidP="002F6A28" w14:paraId="3FC7A6DF" w14:textId="77777777">
            <w:pPr>
              <w:spacing w:before="120" w:after="120"/>
              <w:rPr>
                <w:b/>
              </w:rPr>
            </w:pPr>
            <w:r w:rsidRPr="002F6A28">
              <w:rPr>
                <w:b/>
              </w:rPr>
              <w:t>Objective and rationale, including the nature of urgent problems where applicable:</w:t>
            </w:r>
            <w:r w:rsidRPr="00C379C8" w:rsidR="00EE3A11">
              <w:t xml:space="preserve"> The objective of this Regulation is to establish a framework for making products more sustainable, improving their environmental sustainability to reduce their total carbon and environmental footprint throughout their life cycle, ensuring their free movement on the market, determining the ecodesign requirements they must meet to be placed on the market or put into service, creating a digital product passport and preventing the destruction of unsold consumer products.</w:t>
            </w:r>
          </w:p>
          <w:p w:rsidR="00EE3A11" w:rsidRPr="00C379C8" w:rsidP="002F6A28" w14:paraId="69598DE7" w14:textId="77777777">
            <w:pPr>
              <w:spacing w:before="120" w:after="120"/>
            </w:pPr>
            <w:r w:rsidRPr="00C379C8">
              <w:t>This Regulation has been prepared based on Article 4 of the Law on Product Safety and Technical Regulations, numbered 7223 and dated 5/3/2020.</w:t>
            </w:r>
          </w:p>
          <w:p w:rsidR="00EE3A11" w:rsidRPr="00C379C8" w:rsidP="002F6A28" w14:paraId="2BA5CF67" w14:textId="77777777">
            <w:pPr>
              <w:spacing w:before="120" w:after="120"/>
            </w:pPr>
            <w:r w:rsidRPr="00C379C8">
              <w:t>This Regulation has been prepared within the framework of compliance with European Union legislation, taking into account the European Parliament and Council Regulation (EU) 2024/1781 of June 13, 2024, establishing a framework for ecodesign requirements for sustainable products.</w:t>
            </w:r>
          </w:p>
          <w:p w:rsidR="00EE3A11" w:rsidRPr="00C379C8" w:rsidP="002F6A28" w14:paraId="13127F42" w14:textId="77777777">
            <w:pPr>
              <w:spacing w:before="120" w:after="120"/>
            </w:pPr>
            <w:r w:rsidRPr="00C379C8">
              <w:t>; Consumer information, labelling; Protection of the environment; Harmonization; Reducing trade barriers and facilitating trade</w:t>
            </w:r>
          </w:p>
        </w:tc>
      </w:tr>
      <w:tr w14:paraId="6F1ED0DE" w14:textId="77777777" w:rsidTr="00DB13FE">
        <w:tblPrEx>
          <w:tblW w:w="5000" w:type="pct"/>
          <w:tblLayout w:type="fixed"/>
          <w:tblLook w:val="0000"/>
        </w:tblPrEx>
        <w:tc>
          <w:tcPr>
            <w:tcW w:w="607" w:type="dxa"/>
          </w:tcPr>
          <w:p w:rsidR="00F85C99" w:rsidRPr="002F6A28" w:rsidP="009E75ED" w14:paraId="2F536252" w14:textId="77777777">
            <w:pPr>
              <w:spacing w:before="120" w:after="120"/>
              <w:jc w:val="left"/>
              <w:rPr>
                <w:b/>
              </w:rPr>
            </w:pPr>
            <w:r w:rsidRPr="002F6A28">
              <w:rPr>
                <w:b/>
              </w:rPr>
              <w:t>8.</w:t>
            </w:r>
          </w:p>
        </w:tc>
        <w:tc>
          <w:tcPr>
            <w:tcW w:w="8373" w:type="dxa"/>
          </w:tcPr>
          <w:p w:rsidR="000C3B6C" w:rsidRPr="00EC00D2" w:rsidP="007F13E8" w14:paraId="2CEFC100" w14:textId="77777777">
            <w:pPr>
              <w:spacing w:before="120" w:after="120"/>
              <w:rPr>
                <w:bCs/>
              </w:rPr>
            </w:pPr>
            <w:r w:rsidRPr="002F6A28">
              <w:rPr>
                <w:b/>
              </w:rPr>
              <w:t>Relevant documents:</w:t>
            </w:r>
            <w:r w:rsidRPr="002F6A28" w:rsidR="00EE3A11">
              <w:t xml:space="preserve"> </w:t>
            </w:r>
          </w:p>
          <w:p w:rsidR="00EE3A11" w:rsidRPr="002F6A28" w:rsidP="007F13E8" w14:paraId="04CBF558" w14:textId="77777777">
            <w:pPr>
              <w:spacing w:before="120" w:after="120"/>
            </w:pPr>
            <w:r w:rsidRPr="002F6A28">
              <w:t>This Regulation has been prepared based on Article 4 of the Law on Product Safety and Technical Regulations, numbered 7223 and dated 5/3/2020.</w:t>
            </w:r>
          </w:p>
          <w:p w:rsidR="00EE3A11" w:rsidRPr="002F6A28" w:rsidP="007F13E8" w14:paraId="1F8FEA5E" w14:textId="77777777">
            <w:pPr>
              <w:spacing w:before="120" w:after="120"/>
            </w:pPr>
            <w:r w:rsidRPr="002F6A28">
              <w:t>This Regulation has been prepared within the framework of compliance with European Union legislation, taking into account the European Parliament and Council Regulation (EU) 2024/1781 of June 13, 2024, establishing a framework for ecodesign requirements for sustainable products.</w:t>
            </w:r>
          </w:p>
        </w:tc>
      </w:tr>
      <w:tr w14:paraId="7D1375AE" w14:textId="77777777" w:rsidTr="00DB13FE">
        <w:tblPrEx>
          <w:tblW w:w="5000" w:type="pct"/>
          <w:tblLayout w:type="fixed"/>
          <w:tblLook w:val="0000"/>
        </w:tblPrEx>
        <w:tc>
          <w:tcPr>
            <w:tcW w:w="607" w:type="dxa"/>
          </w:tcPr>
          <w:p w:rsidR="00EE3A11" w:rsidRPr="002F6A28" w:rsidP="002F6A28" w14:paraId="0C3FC1BF" w14:textId="77777777">
            <w:pPr>
              <w:spacing w:before="120" w:after="120"/>
              <w:jc w:val="left"/>
              <w:rPr>
                <w:b/>
              </w:rPr>
            </w:pPr>
            <w:r w:rsidRPr="002F6A28">
              <w:rPr>
                <w:b/>
              </w:rPr>
              <w:t>9.</w:t>
            </w:r>
          </w:p>
        </w:tc>
        <w:tc>
          <w:tcPr>
            <w:tcW w:w="8373" w:type="dxa"/>
          </w:tcPr>
          <w:p w:rsidR="00EE3A11" w:rsidRPr="002F6A28" w:rsidP="008953C4" w14:paraId="04F881D9" w14:textId="77777777">
            <w:pPr>
              <w:spacing w:before="120" w:after="120"/>
            </w:pPr>
            <w:r w:rsidRPr="002F6A28">
              <w:rPr>
                <w:b/>
              </w:rPr>
              <w:t>Proposed date of adoption:</w:t>
            </w:r>
            <w:r w:rsidRPr="00C379C8">
              <w:t xml:space="preserve"> This Communique will be adopted upon its publication.</w:t>
            </w:r>
          </w:p>
          <w:p w:rsidR="00EE3A11" w:rsidRPr="002F6A28" w:rsidP="008953C4" w14:paraId="4C9A23EB" w14:textId="77777777">
            <w:pPr>
              <w:spacing w:after="120"/>
            </w:pPr>
            <w:r w:rsidRPr="002F6A28">
              <w:rPr>
                <w:b/>
              </w:rPr>
              <w:t>Proposed date of entry into force:</w:t>
            </w:r>
            <w:r w:rsidRPr="00C379C8">
              <w:t xml:space="preserve"> (1) The third paragraph of Article 24 of this Regulation shall apply to medium-sized enterprises as of 19/7/2030.</w:t>
            </w:r>
          </w:p>
          <w:p w:rsidR="007B6050" w:rsidRPr="00C379C8" w:rsidP="008953C4" w14:paraId="5060D027" w14:textId="77777777">
            <w:pPr>
              <w:spacing w:after="120"/>
            </w:pPr>
            <w:r w:rsidRPr="00C379C8">
              <w:t>(2) The first paragraph of Article 25 of this Regulation shall apply to large enterprises as of 19/7/2026 and to medium-sized enterprises as of 19/7/2030.</w:t>
            </w:r>
          </w:p>
          <w:p w:rsidR="007B6050" w:rsidRPr="00C379C8" w:rsidP="008953C4" w14:paraId="2D1E4395" w14:textId="77777777">
            <w:pPr>
              <w:spacing w:after="120"/>
            </w:pPr>
            <w:r w:rsidRPr="00C379C8">
              <w:t>(3) The other provisions of this Regulation shall enter into force on the date of their publication.</w:t>
            </w:r>
          </w:p>
        </w:tc>
      </w:tr>
      <w:tr w14:paraId="6FA163E5" w14:textId="77777777" w:rsidTr="00DB13FE">
        <w:tblPrEx>
          <w:tblW w:w="5000" w:type="pct"/>
          <w:tblLayout w:type="fixed"/>
          <w:tblLook w:val="0000"/>
        </w:tblPrEx>
        <w:tc>
          <w:tcPr>
            <w:tcW w:w="607" w:type="dxa"/>
            <w:tcBorders>
              <w:bottom w:val="double" w:sz="4" w:space="0" w:color="auto"/>
            </w:tcBorders>
          </w:tcPr>
          <w:p w:rsidR="00F85C99" w:rsidRPr="002F6A28" w:rsidP="002F6A28" w14:paraId="6E968A2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03EAA0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0E6AE6" w14:textId="77777777">
            <w:pPr>
              <w:spacing w:before="120" w:after="120"/>
              <w:rPr>
                <w:bCs/>
              </w:rPr>
            </w:pPr>
            <w:r w:rsidRPr="002F6A28">
              <w:rPr>
                <w:b/>
              </w:rPr>
              <w:t>Final date for comments:</w:t>
            </w:r>
            <w:r w:rsidRPr="00C379C8" w:rsidR="00EE3A11">
              <w:t xml:space="preserve"> 23 March 2026</w:t>
            </w:r>
          </w:p>
          <w:p w:rsidR="000C3B6C" w:rsidRPr="00E3324D" w:rsidP="000C3B6C" w14:paraId="0727B98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A05E7FC"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1D822E9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7DA87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D8594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B5FBA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17E509" w14:textId="77777777">
    <w:pPr>
      <w:pStyle w:val="Header"/>
      <w:pBdr>
        <w:bottom w:val="single" w:sz="4" w:space="1" w:color="auto"/>
      </w:pBdr>
      <w:tabs>
        <w:tab w:val="clear" w:pos="4513"/>
        <w:tab w:val="clear" w:pos="9027"/>
      </w:tabs>
      <w:jc w:val="center"/>
    </w:pPr>
    <w:r w:rsidRPr="002F6A28">
      <w:t>tbtSymbol</w:t>
    </w:r>
  </w:p>
  <w:p w:rsidR="009239F7" w:rsidRPr="002F6A28" w:rsidP="009239F7" w14:paraId="31BA7A83" w14:textId="77777777">
    <w:pPr>
      <w:pStyle w:val="Header"/>
      <w:pBdr>
        <w:bottom w:val="single" w:sz="4" w:space="1" w:color="auto"/>
      </w:pBdr>
      <w:tabs>
        <w:tab w:val="clear" w:pos="4513"/>
        <w:tab w:val="clear" w:pos="9027"/>
      </w:tabs>
      <w:jc w:val="center"/>
    </w:pPr>
  </w:p>
  <w:p w:rsidR="009239F7" w:rsidRPr="002F6A28" w:rsidP="009239F7" w14:paraId="59FAD1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3780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22D8E4" w14:textId="77777777">
    <w:pPr>
      <w:pStyle w:val="Header"/>
      <w:pBdr>
        <w:bottom w:val="single" w:sz="4" w:space="1" w:color="auto"/>
      </w:pBdr>
      <w:tabs>
        <w:tab w:val="clear" w:pos="4513"/>
        <w:tab w:val="clear" w:pos="9027"/>
      </w:tabs>
      <w:jc w:val="center"/>
    </w:pPr>
    <w:bookmarkStart w:id="0" w:name="spsSymbolHeader"/>
    <w:r w:rsidRPr="002F6A28">
      <w:t>G/TBT/N/TUR/232</w:t>
    </w:r>
    <w:bookmarkEnd w:id="0"/>
  </w:p>
  <w:p w:rsidR="009239F7" w:rsidRPr="002F6A28" w:rsidP="009239F7" w14:paraId="7EE757F3" w14:textId="77777777">
    <w:pPr>
      <w:pStyle w:val="Header"/>
      <w:pBdr>
        <w:bottom w:val="single" w:sz="4" w:space="1" w:color="auto"/>
      </w:pBdr>
      <w:tabs>
        <w:tab w:val="clear" w:pos="4513"/>
        <w:tab w:val="clear" w:pos="9027"/>
      </w:tabs>
      <w:jc w:val="center"/>
    </w:pPr>
  </w:p>
  <w:p w:rsidR="009239F7" w:rsidRPr="002F6A28" w:rsidP="009239F7" w14:paraId="0C25FD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6DFFB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77B13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767A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55C51C" w14:textId="77777777">
          <w:pPr>
            <w:jc w:val="right"/>
            <w:rPr>
              <w:b/>
              <w:color w:val="FF0000"/>
              <w:szCs w:val="16"/>
            </w:rPr>
          </w:pPr>
        </w:p>
      </w:tc>
    </w:tr>
    <w:bookmarkEnd w:id="1"/>
    <w:tr w14:paraId="3D233B6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D76AD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2AB9B5" w14:textId="77777777">
          <w:pPr>
            <w:jc w:val="right"/>
            <w:rPr>
              <w:b/>
              <w:szCs w:val="16"/>
            </w:rPr>
          </w:pPr>
        </w:p>
      </w:tc>
    </w:tr>
    <w:tr w14:paraId="1C124B0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BAAD8E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50D543" w14:textId="77777777">
          <w:pPr>
            <w:jc w:val="right"/>
            <w:rPr>
              <w:b/>
              <w:szCs w:val="16"/>
            </w:rPr>
          </w:pPr>
          <w:bookmarkStart w:id="2" w:name="bmkSymbols"/>
          <w:r w:rsidRPr="002F6A28">
            <w:rPr>
              <w:b/>
              <w:szCs w:val="16"/>
            </w:rPr>
            <w:t>G/TBT/N/TUR/232</w:t>
          </w:r>
          <w:bookmarkEnd w:id="2"/>
        </w:p>
      </w:tc>
    </w:tr>
    <w:tr w14:paraId="56BEF55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D4FD4D" w14:textId="77777777"/>
      </w:tc>
      <w:tc>
        <w:tcPr>
          <w:tcW w:w="5448" w:type="dxa"/>
          <w:gridSpan w:val="2"/>
          <w:shd w:val="clear" w:color="auto" w:fill="FFFFFF"/>
          <w:tcMar>
            <w:left w:w="108" w:type="dxa"/>
            <w:right w:w="108" w:type="dxa"/>
          </w:tcMar>
          <w:vAlign w:val="center"/>
        </w:tcPr>
        <w:p w:rsidR="00ED54E0" w:rsidRPr="009239F7" w:rsidP="00B801E9" w14:paraId="7A061776" w14:textId="77777777">
          <w:pPr>
            <w:jc w:val="right"/>
            <w:rPr>
              <w:szCs w:val="16"/>
            </w:rPr>
          </w:pPr>
          <w:bookmarkStart w:id="3" w:name="spsDateDistribution"/>
          <w:bookmarkStart w:id="4" w:name="bmkDate"/>
          <w:r w:rsidRPr="009239F7">
            <w:rPr>
              <w:szCs w:val="16"/>
            </w:rPr>
            <w:t>22 January 2026</w:t>
          </w:r>
          <w:bookmarkEnd w:id="3"/>
          <w:bookmarkEnd w:id="4"/>
        </w:p>
      </w:tc>
    </w:tr>
    <w:tr w14:paraId="379689B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D5EA2E" w14:textId="77777777">
          <w:pPr>
            <w:jc w:val="left"/>
            <w:rPr>
              <w:b/>
            </w:rPr>
          </w:pPr>
          <w:bookmarkStart w:id="5" w:name="bmkSerial"/>
          <w:r>
            <w:rPr>
              <w:rFonts w:ascii="Verdana" w:eastAsia="Verdana" w:hAnsi="Verdana" w:cs="Verdana"/>
              <w:b w:val="0"/>
              <w:color w:val="FF0000"/>
              <w:sz w:val="18"/>
            </w:rPr>
            <w:t>(26-0456)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85EB0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9F4DF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52E1C5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019D1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22CA2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6608301">
    <w:abstractNumId w:val="9"/>
  </w:num>
  <w:num w:numId="2" w16cid:durableId="2144106329">
    <w:abstractNumId w:val="7"/>
  </w:num>
  <w:num w:numId="3" w16cid:durableId="410590740">
    <w:abstractNumId w:val="6"/>
  </w:num>
  <w:num w:numId="4" w16cid:durableId="214434942">
    <w:abstractNumId w:val="5"/>
  </w:num>
  <w:num w:numId="5" w16cid:durableId="676035996">
    <w:abstractNumId w:val="4"/>
  </w:num>
  <w:num w:numId="6" w16cid:durableId="1434936157">
    <w:abstractNumId w:val="12"/>
  </w:num>
  <w:num w:numId="7" w16cid:durableId="10231732">
    <w:abstractNumId w:val="11"/>
  </w:num>
  <w:num w:numId="8" w16cid:durableId="1802649403">
    <w:abstractNumId w:val="10"/>
  </w:num>
  <w:num w:numId="9" w16cid:durableId="280721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4259424">
    <w:abstractNumId w:val="13"/>
  </w:num>
  <w:num w:numId="11" w16cid:durableId="1590312846">
    <w:abstractNumId w:val="8"/>
  </w:num>
  <w:num w:numId="12" w16cid:durableId="1187015167">
    <w:abstractNumId w:val="3"/>
  </w:num>
  <w:num w:numId="13" w16cid:durableId="1171915330">
    <w:abstractNumId w:val="2"/>
  </w:num>
  <w:num w:numId="14" w16cid:durableId="661278601">
    <w:abstractNumId w:val="1"/>
  </w:num>
  <w:num w:numId="15" w16cid:durableId="3979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176D5"/>
    <w:rsid w:val="004423A4"/>
    <w:rsid w:val="00467032"/>
    <w:rsid w:val="0046754A"/>
    <w:rsid w:val="00473B57"/>
    <w:rsid w:val="0048173D"/>
    <w:rsid w:val="004A23F8"/>
    <w:rsid w:val="004C274C"/>
    <w:rsid w:val="004C27A4"/>
    <w:rsid w:val="004C72F8"/>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0788"/>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6050"/>
    <w:rsid w:val="007D20BB"/>
    <w:rsid w:val="007E1308"/>
    <w:rsid w:val="007E1937"/>
    <w:rsid w:val="007E4C24"/>
    <w:rsid w:val="007E6507"/>
    <w:rsid w:val="007F13E8"/>
    <w:rsid w:val="007F2B8E"/>
    <w:rsid w:val="008055FB"/>
    <w:rsid w:val="00807247"/>
    <w:rsid w:val="00812D1D"/>
    <w:rsid w:val="008159AC"/>
    <w:rsid w:val="00816755"/>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6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3023"/>
    <w:rsid w:val="00D55AAD"/>
    <w:rsid w:val="00D70F5B"/>
    <w:rsid w:val="00D747AE"/>
    <w:rsid w:val="00D75956"/>
    <w:rsid w:val="00D90C17"/>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A8B6A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usra.tufan@sanayi.gov.tr" TargetMode="External" /><Relationship Id="rId7" Type="http://schemas.openxmlformats.org/officeDocument/2006/relationships/hyperlink" Target="mailto:aysenur.gokturk@sanayi.gov.tr" TargetMode="External" /><Relationship Id="rId8" Type="http://schemas.openxmlformats.org/officeDocument/2006/relationships/hyperlink" Target="https://members.wto.org/crnattachments/2026/TBT/TUR/26_0042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D3A9A7F-9E74-4F0C-B845-3ED17C5AD9E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2026-01-22T07:36:00Z</dcterms:created>
  <dcterms:modified xsi:type="dcterms:W3CDTF">2026-01-22T07:41:00Z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