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A50F001" w14:textId="77777777">
      <w:pPr>
        <w:pStyle w:val="Title"/>
      </w:pPr>
      <w:r w:rsidRPr="00EF68C9">
        <w:t>NOTIFICACIÓN</w:t>
      </w:r>
    </w:p>
    <w:p w:rsidR="002F663C" w:rsidRPr="00EF68C9" w:rsidP="00D31A79" w14:paraId="2E141574" w14:textId="77777777">
      <w:pPr>
        <w:pStyle w:val="Title3"/>
      </w:pPr>
      <w:r w:rsidRPr="00EF68C9">
        <w:t>Addendum</w:t>
      </w:r>
    </w:p>
    <w:p w:rsidR="002F663C" w:rsidP="00B22706" w14:paraId="5387DABB" w14:textId="77777777">
      <w:r w:rsidRPr="00EF68C9">
        <w:t>La siguiente comunicación, de fecha 20 de enero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1DDF1EBD" w14:textId="77777777">
      <w:pPr>
        <w:rPr>
          <w:rFonts w:eastAsia="Calibri" w:cs="Times New Roman"/>
        </w:rPr>
      </w:pPr>
    </w:p>
    <w:p w:rsidR="002F663C" w:rsidRPr="00EF68C9" w:rsidP="00EF68C9" w14:paraId="13AAF43B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0683E6C" w14:textId="77777777"/>
    <w:p w:rsidR="00B22706" w:rsidRPr="00EF68C9" w:rsidP="00EF68C9" w14:paraId="5A2F778B" w14:textId="77777777"/>
    <w:p w:rsidR="002F663C" w:rsidRPr="00EF68C9" w:rsidP="00EF68C9" w14:paraId="6A0A062E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RTCA 23.01.78:00 Productos eléctricos. Acondicionadores de aire tipo dividido inverter, con flujo de refrigerante variable descarga libre y sin ductos de aire. Especificaciones de eficiencia energética.</w:t>
      </w:r>
    </w:p>
    <w:p w:rsidR="002F663C" w:rsidRPr="00EF68C9" w:rsidP="00EF68C9" w14:paraId="1D9C082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650985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05F07F4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043AD1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CF14C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022C09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243B6A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F54EA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7C2ABC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B41B70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AC2C6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D3BD40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4126C49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3187B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D5496B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B0BD4D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751CE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687CE2D1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1A166204" w14:textId="77777777">
            <w:pPr>
              <w:spacing w:before="120" w:after="120"/>
            </w:pPr>
            <w:r w:rsidRPr="00EF68C9">
              <w:t>Equivalencia normativa RESOLUCIÓN N° 0004-2026-DE</w:t>
            </w:r>
          </w:p>
          <w:p w:rsidR="002F663C" w:rsidRPr="00EF68C9" w:rsidP="00442BDE" w14:paraId="67BAF11E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https://www.meic.go.cr/</w:t>
              </w:r>
            </w:hyperlink>
          </w:p>
          <w:p w:rsidR="002F663C" w:rsidRPr="00EF68C9" w:rsidP="00442BDE" w14:paraId="09C0F88C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https://members.wto.org/crnattachments/2026/TBT/CRI/final_measure/26_00414_00_s.pdf</w:t>
              </w:r>
            </w:hyperlink>
          </w:p>
        </w:tc>
      </w:tr>
      <w:tr w14:paraId="2D610A7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FF249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D07033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112129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354035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EDC6E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6986F01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8B643C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704EB4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90FE70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21E147F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109731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2C3FEC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641126C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6291082E" w14:textId="77777777"/>
    <w:p w:rsidR="003918E9" w:rsidRPr="00F95856" w:rsidP="00B03883" w14:paraId="70F3A9D8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Con fundamento en el Decreto Ejecutivo N°44037-MINAE, Reglamento Complementario para la Aplicación del RTCA 23.01.78:20 Productos Eléctricos. Acondicionadores de Aire tipo dividido Inverter con flujo de refrigerante variable descarga libre y sin ductos de aire. Especificaciones de Eficiencia Energética, y el Decreto Ejecutivo 43616-COMEX-MEIC-MINAE; Publicado mediante la Resolución Nº 451-2021 (COMIECO-XCVIII) de fecha 17/12/2021 y su Anexo: </w:t>
      </w:r>
      <w:r w:rsidRPr="00EF68C9" w:rsidR="00EF68C9">
        <w:t>"Reglamento Técnico Centroamericano RTCA 23.01. 78:20 Productos Eléctricos. Acondicionadores de Aire Tipo Dividido lnverter, con Flujo de Refrigerante Variable Descarga libre" y lo dispuesto en el considerando primero de la presente resolución se otorga la equivalencia.</w:t>
      </w:r>
    </w:p>
    <w:p w:rsidR="00D60927" w:rsidRPr="00B22706" w:rsidP="003918E9" w14:paraId="4EC7C6AB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EA377B3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FEBDCFF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F4F97EB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C48D2" w:rsidRPr="00EF68C9" w:rsidP="00ED54E0" w14:paraId="5EA848D4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BC48D2" w:rsidRPr="00EF68C9" w:rsidP="00ED54E0" w14:paraId="60FD12C8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AA866F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1AB1C01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C5E381E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EF52A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</w:t>
    </w:r>
    <w:r>
      <w:t>CRI</w:t>
    </w:r>
    <w:r>
      <w:t>/189/Add.41</w:t>
    </w:r>
    <w:bookmarkEnd w:id="7"/>
  </w:p>
  <w:p w:rsidR="00470C19" w:rsidP="00583508" w14:paraId="2E5B5C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01FDB5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D18B78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685278C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D4AE3FA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AD8CE4F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08466BE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10A52713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DD7768B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A6F6E5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7FE8B79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CRI</w:t>
          </w:r>
          <w:r w:rsidRPr="002F663C">
            <w:rPr>
              <w:rFonts w:eastAsia="Calibri" w:cs="Times New Roman"/>
              <w:b/>
              <w:szCs w:val="16"/>
            </w:rPr>
            <w:t>/189/Add.41</w:t>
          </w:r>
          <w:bookmarkEnd w:id="16"/>
        </w:p>
      </w:tc>
    </w:tr>
    <w:tr w14:paraId="7CBB43E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DEB7AF3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DD8AEEA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21 de enero de 2026</w:t>
          </w:r>
          <w:bookmarkEnd w:id="17"/>
        </w:p>
      </w:tc>
    </w:tr>
    <w:tr w14:paraId="2C25507F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7293A0E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(26-0430)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3A50107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327CF00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E8DE1A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41631B0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E0FF9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0026602">
    <w:abstractNumId w:val="9"/>
  </w:num>
  <w:num w:numId="2" w16cid:durableId="289820951">
    <w:abstractNumId w:val="7"/>
  </w:num>
  <w:num w:numId="3" w16cid:durableId="948515340">
    <w:abstractNumId w:val="6"/>
  </w:num>
  <w:num w:numId="4" w16cid:durableId="1191844205">
    <w:abstractNumId w:val="5"/>
  </w:num>
  <w:num w:numId="5" w16cid:durableId="109671725">
    <w:abstractNumId w:val="4"/>
  </w:num>
  <w:num w:numId="6" w16cid:durableId="126827050">
    <w:abstractNumId w:val="12"/>
  </w:num>
  <w:num w:numId="7" w16cid:durableId="942225025">
    <w:abstractNumId w:val="11"/>
  </w:num>
  <w:num w:numId="8" w16cid:durableId="573440028">
    <w:abstractNumId w:val="10"/>
  </w:num>
  <w:num w:numId="9" w16cid:durableId="8585405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1759061">
    <w:abstractNumId w:val="13"/>
  </w:num>
  <w:num w:numId="11" w16cid:durableId="365373592">
    <w:abstractNumId w:val="8"/>
  </w:num>
  <w:num w:numId="12" w16cid:durableId="1851218737">
    <w:abstractNumId w:val="3"/>
  </w:num>
  <w:num w:numId="13" w16cid:durableId="1794516578">
    <w:abstractNumId w:val="2"/>
  </w:num>
  <w:num w:numId="14" w16cid:durableId="1973292520">
    <w:abstractNumId w:val="1"/>
  </w:num>
  <w:num w:numId="15" w16cid:durableId="142821379">
    <w:abstractNumId w:val="0"/>
  </w:num>
  <w:num w:numId="16" w16cid:durableId="121177069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6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5589"/>
    <w:rsid w:val="000272F6"/>
    <w:rsid w:val="00037AC4"/>
    <w:rsid w:val="000423BF"/>
    <w:rsid w:val="00043D6D"/>
    <w:rsid w:val="00043ECC"/>
    <w:rsid w:val="000844B6"/>
    <w:rsid w:val="00096C3D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C48D2"/>
    <w:rsid w:val="00BE5468"/>
    <w:rsid w:val="00BF067B"/>
    <w:rsid w:val="00C010C8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369CA"/>
    <w:rsid w:val="00D51C5C"/>
    <w:rsid w:val="00D52A9D"/>
    <w:rsid w:val="00D53023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43AA"/>
    <w:rsid w:val="00F95856"/>
    <w:rsid w:val="00FA07E8"/>
    <w:rsid w:val="00FA173F"/>
    <w:rsid w:val="00FA5EBC"/>
    <w:rsid w:val="00FA6F14"/>
    <w:rsid w:val="00FA6F48"/>
    <w:rsid w:val="00FB248E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A76A26"/>
  <w15:docId w15:val="{5EC2DF07-DF23-4509-9F88-41D7A81B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meic.go.cr/" TargetMode="External" /><Relationship Id="rId8" Type="http://schemas.openxmlformats.org/officeDocument/2006/relationships/hyperlink" Target="https://members.wto.org/crnattachments/2026/TBT/CRI/final_measure/26_00414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4F34B9-EEED-4D45-9EEE-9DA382C5A59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2026-01-21T07:05:00Z</dcterms:created>
  <dcterms:modified xsi:type="dcterms:W3CDTF">2026-01-21T07:40:00Z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