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68A73BE" w14:textId="77777777">
      <w:pPr>
        <w:pStyle w:val="Title"/>
        <w:rPr>
          <w:caps w:val="0"/>
          <w:kern w:val="0"/>
        </w:rPr>
      </w:pPr>
      <w:r w:rsidRPr="002F6A28">
        <w:rPr>
          <w:caps w:val="0"/>
          <w:kern w:val="0"/>
        </w:rPr>
        <w:t>NOTIFICATION</w:t>
      </w:r>
    </w:p>
    <w:p w:rsidR="009239F7" w:rsidRPr="002F6A28" w:rsidP="002F6A28" w14:paraId="38873FC7" w14:textId="77777777">
      <w:pPr>
        <w:jc w:val="center"/>
      </w:pPr>
      <w:r w:rsidRPr="002F6A28">
        <w:t>The following notification is being circulated in accordance with Article 10.6</w:t>
      </w:r>
    </w:p>
    <w:p w:rsidR="009239F7" w:rsidRPr="002F6A28" w:rsidP="002F6A28" w14:paraId="37A68398"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3B6448A2" w14:textId="77777777" w:rsidTr="00DB13FE">
        <w:tblPrEx>
          <w:tblW w:w="5000" w:type="pct"/>
          <w:tblLayout w:type="fixed"/>
          <w:tblLook w:val="0000"/>
        </w:tblPrEx>
        <w:tc>
          <w:tcPr>
            <w:tcW w:w="607" w:type="dxa"/>
            <w:tcBorders>
              <w:top w:val="double" w:sz="4" w:space="0" w:color="auto"/>
            </w:tcBorders>
          </w:tcPr>
          <w:p w:rsidR="00F85C99" w:rsidRPr="002F6A28" w:rsidP="002F6A28" w14:paraId="0A1330F1" w14:textId="77777777">
            <w:pPr>
              <w:spacing w:before="120" w:after="120"/>
              <w:jc w:val="left"/>
            </w:pPr>
            <w:r w:rsidRPr="002F6A28">
              <w:rPr>
                <w:b/>
              </w:rPr>
              <w:t>1.</w:t>
            </w:r>
          </w:p>
        </w:tc>
        <w:tc>
          <w:tcPr>
            <w:tcW w:w="8373" w:type="dxa"/>
            <w:tcBorders>
              <w:top w:val="double" w:sz="4" w:space="0" w:color="auto"/>
            </w:tcBorders>
          </w:tcPr>
          <w:p w:rsidR="00F85C99" w:rsidRPr="002F6A28" w:rsidP="00C805B6" w14:paraId="1D495569" w14:textId="77777777">
            <w:pPr>
              <w:spacing w:before="120" w:after="120"/>
            </w:pPr>
            <w:r w:rsidRPr="002F6A28">
              <w:rPr>
                <w:b/>
              </w:rPr>
              <w:t>Notifying Member:</w:t>
            </w:r>
            <w:r w:rsidRPr="00C92678" w:rsidR="00EE3A11">
              <w:t xml:space="preserve"> </w:t>
            </w:r>
            <w:r w:rsidRPr="00C92678" w:rsidR="00EE3A11">
              <w:rPr>
                <w:u w:val="single"/>
              </w:rPr>
              <w:t>GUYANA</w:t>
            </w:r>
          </w:p>
          <w:p w:rsidR="00F85C99" w:rsidRPr="002F6A28" w:rsidP="002F6A28" w14:paraId="215E580A"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F7F3BF1" w14:textId="77777777" w:rsidTr="00DB13FE">
        <w:tblPrEx>
          <w:tblW w:w="5000" w:type="pct"/>
          <w:tblLayout w:type="fixed"/>
          <w:tblLook w:val="0000"/>
        </w:tblPrEx>
        <w:tc>
          <w:tcPr>
            <w:tcW w:w="607" w:type="dxa"/>
          </w:tcPr>
          <w:p w:rsidR="00F85C99" w:rsidRPr="002F6A28" w:rsidP="002F6A28" w14:paraId="11432FE4" w14:textId="77777777">
            <w:pPr>
              <w:spacing w:before="120" w:after="120"/>
              <w:jc w:val="left"/>
            </w:pPr>
            <w:r w:rsidRPr="002F6A28">
              <w:rPr>
                <w:b/>
              </w:rPr>
              <w:t>2.</w:t>
            </w:r>
          </w:p>
        </w:tc>
        <w:tc>
          <w:tcPr>
            <w:tcW w:w="8373" w:type="dxa"/>
          </w:tcPr>
          <w:p w:rsidR="00F85C99" w:rsidRPr="002F6A28" w:rsidP="000C3B6C" w14:paraId="59910AC7" w14:textId="77777777">
            <w:pPr>
              <w:spacing w:before="120" w:after="120"/>
            </w:pPr>
            <w:r w:rsidRPr="002F6A28">
              <w:rPr>
                <w:b/>
              </w:rPr>
              <w:t>Agency responsible:</w:t>
            </w:r>
            <w:r w:rsidRPr="00C379C8" w:rsidR="00EE3A11">
              <w:t xml:space="preserve"> </w:t>
            </w:r>
          </w:p>
          <w:p w:rsidR="00EE3A11" w:rsidRPr="00C379C8" w:rsidP="000C3B6C" w14:paraId="2C57630A" w14:textId="77777777">
            <w:pPr>
              <w:spacing w:after="120"/>
            </w:pPr>
            <w:r w:rsidRPr="00C379C8">
              <w:t>Guyana National Bureau of Standards (GNBS)</w:t>
            </w:r>
          </w:p>
        </w:tc>
      </w:tr>
      <w:tr w14:paraId="32957E68" w14:textId="77777777" w:rsidTr="00DB13FE">
        <w:tblPrEx>
          <w:tblW w:w="5000" w:type="pct"/>
          <w:tblLayout w:type="fixed"/>
          <w:tblLook w:val="0000"/>
        </w:tblPrEx>
        <w:tc>
          <w:tcPr>
            <w:tcW w:w="607" w:type="dxa"/>
          </w:tcPr>
          <w:p w:rsidR="00F85C99" w:rsidRPr="002F6A28" w:rsidP="002F6A28" w14:paraId="3F2B6711" w14:textId="77777777">
            <w:pPr>
              <w:spacing w:before="120" w:after="120"/>
              <w:jc w:val="left"/>
              <w:rPr>
                <w:b/>
              </w:rPr>
            </w:pPr>
            <w:r w:rsidRPr="002F6A28">
              <w:rPr>
                <w:b/>
              </w:rPr>
              <w:t>3.</w:t>
            </w:r>
          </w:p>
        </w:tc>
        <w:tc>
          <w:tcPr>
            <w:tcW w:w="8373" w:type="dxa"/>
          </w:tcPr>
          <w:p w:rsidR="00F85C99" w:rsidRPr="0058336F" w:rsidP="002F6A28" w14:paraId="7F1DBAD5"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1BD85D86" w14:textId="77777777" w:rsidTr="00DB13FE">
        <w:tblPrEx>
          <w:tblW w:w="5000" w:type="pct"/>
          <w:tblLayout w:type="fixed"/>
          <w:tblLook w:val="0000"/>
        </w:tblPrEx>
        <w:tc>
          <w:tcPr>
            <w:tcW w:w="607" w:type="dxa"/>
          </w:tcPr>
          <w:p w:rsidR="00F85C99" w:rsidRPr="002F6A28" w:rsidP="002F6A28" w14:paraId="2C1F2D88" w14:textId="77777777">
            <w:pPr>
              <w:spacing w:before="120" w:after="120"/>
              <w:jc w:val="left"/>
            </w:pPr>
            <w:r w:rsidRPr="002F6A28">
              <w:rPr>
                <w:b/>
              </w:rPr>
              <w:t>4.</w:t>
            </w:r>
          </w:p>
        </w:tc>
        <w:tc>
          <w:tcPr>
            <w:tcW w:w="8373" w:type="dxa"/>
          </w:tcPr>
          <w:p w:rsidR="00F85C99" w:rsidRPr="002F6A28" w:rsidP="002F6A28" w14:paraId="43227467"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Refrigerants and antifreezes (ICS code(s): 71.100.45)</w:t>
            </w:r>
          </w:p>
        </w:tc>
      </w:tr>
      <w:tr w14:paraId="252D2F44" w14:textId="77777777" w:rsidTr="00DB13FE">
        <w:tblPrEx>
          <w:tblW w:w="5000" w:type="pct"/>
          <w:tblLayout w:type="fixed"/>
          <w:tblLook w:val="0000"/>
        </w:tblPrEx>
        <w:tc>
          <w:tcPr>
            <w:tcW w:w="607" w:type="dxa"/>
          </w:tcPr>
          <w:p w:rsidR="00F85C99" w:rsidRPr="002F6A28" w:rsidP="002F6A28" w14:paraId="5688A9CE" w14:textId="77777777">
            <w:pPr>
              <w:spacing w:before="120" w:after="120"/>
              <w:jc w:val="left"/>
            </w:pPr>
            <w:r w:rsidRPr="002F6A28">
              <w:rPr>
                <w:b/>
              </w:rPr>
              <w:t>5.</w:t>
            </w:r>
          </w:p>
        </w:tc>
        <w:tc>
          <w:tcPr>
            <w:tcW w:w="8373" w:type="dxa"/>
          </w:tcPr>
          <w:p w:rsidR="00F85C99" w:rsidP="002F6A28" w14:paraId="53E732A7"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Specification for Labelling of commodities Part 10: Labelling of equipment, items and parts containing refrigerants; (17 page(s), in English)</w:t>
            </w:r>
          </w:p>
          <w:p w:rsidR="000C3B6C" w:rsidRPr="000C3B6C" w:rsidP="002F6A28" w14:paraId="678F234E"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605701" w:rsidRPr="00CE6C29" w:rsidP="002F6A28" w14:paraId="794A6417"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https://members.wto.org/crnattachments/2026/TBT/GUY/26_00282_00_e.pdf</w:t>
              </w:r>
            </w:hyperlink>
          </w:p>
          <w:p w:rsidR="00605701" w:rsidRPr="00CE6C29" w:rsidP="002F6A28" w14:paraId="35EEB0C1" w14:textId="77777777">
            <w:pPr>
              <w:rPr>
                <w:iCs/>
              </w:rPr>
            </w:pPr>
            <w:hyperlink r:id="rId7" w:tgtFrame="_blank" w:history="1">
              <w:r w:rsidRPr="00CE6C29">
                <w:rPr>
                  <w:iCs/>
                  <w:color w:val="0000FF"/>
                  <w:u w:val="single"/>
                </w:rPr>
                <w:t>https://gnbsgy.org/wp-content/uploads/2026/01/Enquiry-draft.pdf</w:t>
              </w:r>
            </w:hyperlink>
          </w:p>
          <w:p w:rsidR="00605701" w:rsidRPr="00CE6C29" w:rsidP="002F6A28" w14:paraId="20FFB342" w14:textId="77777777">
            <w:pPr>
              <w:rPr>
                <w:iCs/>
              </w:rPr>
            </w:pPr>
            <w:r w:rsidRPr="00CE6C29">
              <w:rPr>
                <w:iCs/>
              </w:rPr>
              <w:t>Guyana National Bureau of Standards (GNBS)</w:t>
            </w:r>
          </w:p>
          <w:p w:rsidR="00605701" w:rsidRPr="00CE6C29" w:rsidP="002F6A28" w14:paraId="0C8CA7F9" w14:textId="77777777">
            <w:pPr>
              <w:rPr>
                <w:iCs/>
              </w:rPr>
            </w:pPr>
            <w:r w:rsidRPr="00CE6C29">
              <w:rPr>
                <w:iCs/>
              </w:rPr>
              <w:t>Track MB, Block B, National Exhibition Centre, Sophia, Georgetown, Guyana.</w:t>
            </w:r>
          </w:p>
          <w:p w:rsidR="00605701" w:rsidRPr="00CE6C29" w:rsidP="002F6A28" w14:paraId="0B14A964" w14:textId="77777777">
            <w:pPr>
              <w:rPr>
                <w:iCs/>
              </w:rPr>
            </w:pPr>
            <w:r w:rsidRPr="00CE6C29">
              <w:rPr>
                <w:iCs/>
              </w:rPr>
              <w:t>Tel: +(592) 219 0062; +(592) 219 0064; +(592) 219 0065; +(592) 219 0066 Ext. 2013</w:t>
            </w:r>
          </w:p>
          <w:p w:rsidR="00605701" w:rsidRPr="00CE6C29" w:rsidP="002F6A28" w14:paraId="32B32211" w14:textId="77777777">
            <w:pPr>
              <w:rPr>
                <w:iCs/>
              </w:rPr>
            </w:pPr>
            <w:r w:rsidRPr="00CE6C29">
              <w:rPr>
                <w:iCs/>
              </w:rPr>
              <w:t xml:space="preserve">Email: </w:t>
            </w:r>
            <w:hyperlink r:id="rId8" w:history="1">
              <w:r w:rsidRPr="00CE6C29">
                <w:rPr>
                  <w:iCs/>
                  <w:color w:val="0000FF"/>
                  <w:u w:val="single"/>
                </w:rPr>
                <w:t>public.comments@gnbsgy.org</w:t>
              </w:r>
            </w:hyperlink>
            <w:r w:rsidRPr="00CE6C29">
              <w:rPr>
                <w:iCs/>
              </w:rPr>
              <w:t xml:space="preserve">; </w:t>
            </w:r>
            <w:hyperlink r:id="rId9" w:history="1">
              <w:r w:rsidRPr="00CE6C29">
                <w:rPr>
                  <w:iCs/>
                  <w:color w:val="0000FF"/>
                  <w:u w:val="single"/>
                </w:rPr>
                <w:t>standards@gnbsgy.org</w:t>
              </w:r>
            </w:hyperlink>
          </w:p>
          <w:p w:rsidR="00605701" w:rsidRPr="00CE6C29" w:rsidP="002F6A28" w14:paraId="1D2EBD9F" w14:textId="77777777">
            <w:pPr>
              <w:spacing w:after="120"/>
              <w:rPr>
                <w:iCs/>
              </w:rPr>
            </w:pPr>
            <w:r w:rsidRPr="00CE6C29">
              <w:rPr>
                <w:iCs/>
              </w:rPr>
              <w:t xml:space="preserve">Website: </w:t>
            </w:r>
            <w:hyperlink r:id="rId10" w:tgtFrame="_blank" w:history="1">
              <w:r w:rsidRPr="00CE6C29">
                <w:rPr>
                  <w:iCs/>
                  <w:color w:val="0000FF"/>
                  <w:u w:val="single"/>
                </w:rPr>
                <w:t>https://gnbsgy.org</w:t>
              </w:r>
            </w:hyperlink>
          </w:p>
        </w:tc>
      </w:tr>
      <w:tr w14:paraId="5125C228" w14:textId="77777777" w:rsidTr="00DB13FE">
        <w:tblPrEx>
          <w:tblW w:w="5000" w:type="pct"/>
          <w:tblLayout w:type="fixed"/>
          <w:tblLook w:val="0000"/>
        </w:tblPrEx>
        <w:tc>
          <w:tcPr>
            <w:tcW w:w="607" w:type="dxa"/>
          </w:tcPr>
          <w:p w:rsidR="00F85C99" w:rsidRPr="002F6A28" w:rsidP="002F6A28" w14:paraId="517B0783" w14:textId="77777777">
            <w:pPr>
              <w:spacing w:before="120" w:after="120"/>
              <w:jc w:val="left"/>
              <w:rPr>
                <w:b/>
              </w:rPr>
            </w:pPr>
            <w:r w:rsidRPr="002F6A28">
              <w:rPr>
                <w:b/>
              </w:rPr>
              <w:t>6.</w:t>
            </w:r>
          </w:p>
        </w:tc>
        <w:tc>
          <w:tcPr>
            <w:tcW w:w="8373" w:type="dxa"/>
          </w:tcPr>
          <w:p w:rsidR="00F85C99" w:rsidRPr="002F6A28" w:rsidP="002F6A28" w14:paraId="77DC1530" w14:textId="77777777">
            <w:pPr>
              <w:spacing w:before="120" w:after="120"/>
              <w:rPr>
                <w:b/>
              </w:rPr>
            </w:pPr>
            <w:r w:rsidRPr="002F6A28">
              <w:rPr>
                <w:b/>
              </w:rPr>
              <w:t>Description of content:</w:t>
            </w:r>
            <w:r w:rsidRPr="00C379C8" w:rsidR="00FE448B">
              <w:t xml:space="preserve"> This standard specifies that labelling requirements for all types of equipment, items and parts containing refrigerants. It also includes containers or receptacles used for transporting and storing gases that are considered refrigerants. </w:t>
            </w:r>
          </w:p>
        </w:tc>
      </w:tr>
      <w:tr w14:paraId="5E57F615" w14:textId="77777777" w:rsidTr="00DB13FE">
        <w:tblPrEx>
          <w:tblW w:w="5000" w:type="pct"/>
          <w:tblLayout w:type="fixed"/>
          <w:tblLook w:val="0000"/>
        </w:tblPrEx>
        <w:tc>
          <w:tcPr>
            <w:tcW w:w="607" w:type="dxa"/>
          </w:tcPr>
          <w:p w:rsidR="00F85C99" w:rsidRPr="002F6A28" w:rsidP="002F6A28" w14:paraId="30964BC7" w14:textId="77777777">
            <w:pPr>
              <w:spacing w:before="120" w:after="120"/>
              <w:jc w:val="left"/>
              <w:rPr>
                <w:b/>
              </w:rPr>
            </w:pPr>
            <w:r w:rsidRPr="002F6A28">
              <w:rPr>
                <w:b/>
              </w:rPr>
              <w:t>7.</w:t>
            </w:r>
          </w:p>
        </w:tc>
        <w:tc>
          <w:tcPr>
            <w:tcW w:w="8373" w:type="dxa"/>
          </w:tcPr>
          <w:p w:rsidR="00F85C99" w:rsidRPr="002F6A28" w:rsidP="002F6A28" w14:paraId="10E5E391" w14:textId="77777777">
            <w:pPr>
              <w:spacing w:before="120" w:after="120"/>
              <w:rPr>
                <w:b/>
              </w:rPr>
            </w:pPr>
            <w:r w:rsidRPr="002F6A28">
              <w:rPr>
                <w:b/>
              </w:rPr>
              <w:t>Objective and rationale, including the nature of urgent problems where applicable:</w:t>
            </w:r>
            <w:r w:rsidRPr="00C379C8" w:rsidR="00EE3A11">
              <w:t xml:space="preserve"> The Montreal Protocol has been updated and in keeping with Guyana's commitments, the Hydrometrological office submitted a request to have the current version of the standard revised. The request was made for a label to be included as Appendix D. This label highlights that natural refrigerants are safe, energy-efficient and climate- friendly. The label is designed to inform the public of the type and properties of the refrigerant used in new refrigeration and air conditioning appliances. This addition is intended to inform on safe handling during movement, installation, servicing and disposal of cooling and freezing equipment. Particularly in light of the growing use in the commercial and domestic sector of appliances using alternative refrigerants with flammable properties; Consumer information, labelling; Protection of human health or safety; Protection of the environment</w:t>
            </w:r>
          </w:p>
        </w:tc>
      </w:tr>
      <w:tr w14:paraId="197ECBE9" w14:textId="77777777" w:rsidTr="00DB13FE">
        <w:tblPrEx>
          <w:tblW w:w="5000" w:type="pct"/>
          <w:tblLayout w:type="fixed"/>
          <w:tblLook w:val="0000"/>
        </w:tblPrEx>
        <w:tc>
          <w:tcPr>
            <w:tcW w:w="607" w:type="dxa"/>
          </w:tcPr>
          <w:p w:rsidR="00F85C99" w:rsidRPr="002F6A28" w:rsidP="00037CAE" w14:paraId="6F887D9C" w14:textId="77777777">
            <w:pPr>
              <w:keepNext/>
              <w:spacing w:before="120" w:after="120"/>
              <w:jc w:val="left"/>
              <w:rPr>
                <w:b/>
              </w:rPr>
            </w:pPr>
            <w:r w:rsidRPr="002F6A28">
              <w:rPr>
                <w:b/>
              </w:rPr>
              <w:t>8.</w:t>
            </w:r>
          </w:p>
        </w:tc>
        <w:tc>
          <w:tcPr>
            <w:tcW w:w="8373" w:type="dxa"/>
          </w:tcPr>
          <w:p w:rsidR="000C3B6C" w:rsidRPr="00EC00D2" w:rsidP="00037CAE" w14:paraId="6247BEC8" w14:textId="77777777">
            <w:pPr>
              <w:keepNext/>
              <w:spacing w:before="120" w:after="120"/>
              <w:rPr>
                <w:bCs/>
              </w:rPr>
            </w:pPr>
            <w:r w:rsidRPr="002F6A28">
              <w:rPr>
                <w:b/>
              </w:rPr>
              <w:t>Relevant documents:</w:t>
            </w:r>
            <w:r w:rsidRPr="002F6A28" w:rsidR="00EE3A11">
              <w:t xml:space="preserve"> </w:t>
            </w:r>
          </w:p>
          <w:p w:rsidR="00EE3A11" w:rsidRPr="002F6A28" w:rsidP="00037CAE" w14:paraId="756EFB42" w14:textId="77777777">
            <w:pPr>
              <w:keepNext/>
              <w:spacing w:before="120" w:after="120"/>
            </w:pPr>
            <w:r w:rsidRPr="002F6A28">
              <w:t>Guyana National Bureau of Standards Act 11 of 1984 (Section 20 and 22).</w:t>
            </w:r>
          </w:p>
          <w:p w:rsidR="00EE3A11" w:rsidRPr="002F6A28" w:rsidP="00037CAE" w14:paraId="3DAA15CD" w14:textId="77777777">
            <w:pPr>
              <w:keepNext/>
              <w:spacing w:before="120" w:after="120"/>
            </w:pPr>
            <w:r w:rsidRPr="002F6A28">
              <w:t>The Trade Act, Act No. 19 of 2007 (Section 7)</w:t>
            </w:r>
          </w:p>
          <w:p w:rsidR="00EE3A11" w:rsidRPr="002F6A28" w:rsidP="00037CAE" w14:paraId="41133902" w14:textId="77777777">
            <w:pPr>
              <w:keepNext/>
              <w:spacing w:before="120" w:after="120"/>
            </w:pPr>
            <w:r w:rsidRPr="002F6A28">
              <w:t>A notice of the Specification for Labelling of commodities Part 10: Labelling of equipment, items and parts containing refrigerants, will appear in the Official Gazette of Guyana Legal Supplement. The document will appear as a Guyana Standard Specification, with mandatory status, and will be available for sale.</w:t>
            </w:r>
          </w:p>
        </w:tc>
      </w:tr>
      <w:tr w14:paraId="648D12F4" w14:textId="77777777" w:rsidTr="00DB13FE">
        <w:tblPrEx>
          <w:tblW w:w="5000" w:type="pct"/>
          <w:tblLayout w:type="fixed"/>
          <w:tblLook w:val="0000"/>
        </w:tblPrEx>
        <w:tc>
          <w:tcPr>
            <w:tcW w:w="607" w:type="dxa"/>
          </w:tcPr>
          <w:p w:rsidR="00EE3A11" w:rsidRPr="002F6A28" w:rsidP="002F6A28" w14:paraId="30615661" w14:textId="77777777">
            <w:pPr>
              <w:spacing w:before="120" w:after="120"/>
              <w:jc w:val="left"/>
              <w:rPr>
                <w:b/>
              </w:rPr>
            </w:pPr>
            <w:r w:rsidRPr="002F6A28">
              <w:rPr>
                <w:b/>
              </w:rPr>
              <w:t>9.</w:t>
            </w:r>
          </w:p>
        </w:tc>
        <w:tc>
          <w:tcPr>
            <w:tcW w:w="8373" w:type="dxa"/>
          </w:tcPr>
          <w:p w:rsidR="00EE3A11" w:rsidRPr="002F6A28" w:rsidP="008953C4" w14:paraId="213B8B93" w14:textId="77777777">
            <w:pPr>
              <w:spacing w:before="120" w:after="120"/>
            </w:pPr>
            <w:r w:rsidRPr="002F6A28">
              <w:rPr>
                <w:b/>
              </w:rPr>
              <w:t>Proposed date of adoption:</w:t>
            </w:r>
            <w:r w:rsidRPr="00C379C8">
              <w:t xml:space="preserve"> To be determined</w:t>
            </w:r>
          </w:p>
          <w:p w:rsidR="00EE3A11" w:rsidRPr="002F6A28" w:rsidP="008953C4" w14:paraId="0466530F" w14:textId="77777777">
            <w:pPr>
              <w:spacing w:after="120"/>
            </w:pPr>
            <w:r w:rsidRPr="002F6A28">
              <w:rPr>
                <w:b/>
              </w:rPr>
              <w:t>Proposed date of entry into force:</w:t>
            </w:r>
            <w:r w:rsidRPr="00C379C8">
              <w:t xml:space="preserve"> To be determined</w:t>
            </w:r>
          </w:p>
        </w:tc>
      </w:tr>
      <w:tr w14:paraId="194DBD10" w14:textId="77777777" w:rsidTr="00DB13FE">
        <w:tblPrEx>
          <w:tblW w:w="5000" w:type="pct"/>
          <w:tblLayout w:type="fixed"/>
          <w:tblLook w:val="0000"/>
        </w:tblPrEx>
        <w:tc>
          <w:tcPr>
            <w:tcW w:w="607" w:type="dxa"/>
            <w:tcBorders>
              <w:bottom w:val="double" w:sz="4" w:space="0" w:color="auto"/>
            </w:tcBorders>
          </w:tcPr>
          <w:p w:rsidR="00F85C99" w:rsidRPr="002F6A28" w:rsidP="002F6A28" w14:paraId="131D16CD"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5E00691F"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50CDC25F" w14:textId="77777777">
            <w:pPr>
              <w:spacing w:before="120" w:after="120"/>
              <w:rPr>
                <w:bCs/>
              </w:rPr>
            </w:pPr>
            <w:r w:rsidRPr="002F6A28">
              <w:rPr>
                <w:b/>
              </w:rPr>
              <w:t>Final date for comments:</w:t>
            </w:r>
            <w:r w:rsidRPr="00C379C8" w:rsidR="00EE3A11">
              <w:t xml:space="preserve"> 14 March 2026</w:t>
            </w:r>
          </w:p>
          <w:p w:rsidR="000C3B6C" w:rsidRPr="00E3324D" w:rsidP="000C3B6C" w14:paraId="00A696E0"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11F6B31E"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40425207" w14:textId="77777777">
            <w:r w:rsidRPr="00CE6C29">
              <w:t>Guyana National Bureau of Standards (GNBS)</w:t>
            </w:r>
          </w:p>
          <w:p w:rsidR="00CE6C29" w:rsidRPr="00CE6C29" w:rsidP="000C3B6C" w14:paraId="4B51AA80" w14:textId="77777777">
            <w:r w:rsidRPr="00CE6C29">
              <w:t>WTO/TBT Enquiry Point</w:t>
            </w:r>
          </w:p>
          <w:p w:rsidR="00CE6C29" w:rsidRPr="00CE6C29" w:rsidP="000C3B6C" w14:paraId="1706CB77" w14:textId="77777777">
            <w:r w:rsidRPr="00CE6C29">
              <w:t>Contact: Ms. Nickasi McCalmon</w:t>
            </w:r>
          </w:p>
          <w:p w:rsidR="00CE6C29" w:rsidRPr="00CE6C29" w:rsidP="000C3B6C" w14:paraId="7AB85B56" w14:textId="77777777">
            <w:r w:rsidRPr="00CE6C29">
              <w:t>Track MB, Block B, National Exhibition Centre, Sophia, Georgetown, Guyana.</w:t>
            </w:r>
          </w:p>
          <w:p w:rsidR="00CE6C29" w:rsidRPr="00CE6C29" w:rsidP="000C3B6C" w14:paraId="0D94DA8C" w14:textId="77777777">
            <w:r w:rsidRPr="00CE6C29">
              <w:t>Tel: Tel: +(592) 219 0062; +(592) 219 0064; +(592) 219 0065; +(592) 219 0066 Ext. 2014</w:t>
            </w:r>
          </w:p>
          <w:p w:rsidR="00CE6C29" w:rsidRPr="00CE6C29" w:rsidP="000C3B6C" w14:paraId="2290DA58" w14:textId="77777777">
            <w:r w:rsidRPr="00CE6C29">
              <w:t>Fax: +(592) 219 0070</w:t>
            </w:r>
          </w:p>
          <w:p w:rsidR="00CE6C29" w:rsidRPr="00CE6C29" w:rsidP="000C3B6C" w14:paraId="2A151F43" w14:textId="77777777">
            <w:r w:rsidRPr="00CE6C29">
              <w:t xml:space="preserve">Email: </w:t>
            </w:r>
            <w:hyperlink r:id="rId11" w:history="1">
              <w:r w:rsidRPr="00CE6C29">
                <w:rPr>
                  <w:color w:val="0000FF"/>
                  <w:u w:val="single"/>
                </w:rPr>
                <w:t>wto-tbt.enquiry@gnbsgy.org</w:t>
              </w:r>
            </w:hyperlink>
          </w:p>
          <w:p w:rsidR="00CE6C29" w:rsidRPr="00CE6C29" w:rsidP="000C3B6C" w14:paraId="075D1726" w14:textId="77777777">
            <w:pPr>
              <w:spacing w:after="120"/>
            </w:pPr>
            <w:r w:rsidRPr="00CE6C29">
              <w:t xml:space="preserve">Website: </w:t>
            </w:r>
            <w:hyperlink r:id="rId12" w:tgtFrame="_blank" w:history="1">
              <w:r w:rsidRPr="00CE6C29">
                <w:rPr>
                  <w:color w:val="0000FF"/>
                  <w:u w:val="single"/>
                </w:rPr>
                <w:t>http://www.gnbsgy.org</w:t>
              </w:r>
            </w:hyperlink>
          </w:p>
        </w:tc>
      </w:tr>
    </w:tbl>
    <w:p w:rsidR="00EE3A11" w:rsidRPr="002F6A28" w:rsidP="00887259" w14:paraId="565AC163" w14:textId="77777777">
      <w:pPr>
        <w:jc w:val="center"/>
      </w:pPr>
    </w:p>
    <w:sectPr w:rsidSect="00760DB3">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DDC0CD7"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0BE47E1"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8383D69"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32A03E0" w14:textId="77777777">
    <w:pPr>
      <w:pStyle w:val="Header"/>
      <w:pBdr>
        <w:bottom w:val="single" w:sz="4" w:space="1" w:color="auto"/>
      </w:pBdr>
      <w:tabs>
        <w:tab w:val="clear" w:pos="4513"/>
        <w:tab w:val="clear" w:pos="9027"/>
      </w:tabs>
      <w:jc w:val="center"/>
    </w:pPr>
    <w:r w:rsidRPr="002F6A28">
      <w:t>tbtSymbol</w:t>
    </w:r>
  </w:p>
  <w:p w:rsidR="009239F7" w:rsidRPr="002F6A28" w:rsidP="009239F7" w14:paraId="4DE37600" w14:textId="77777777">
    <w:pPr>
      <w:pStyle w:val="Header"/>
      <w:pBdr>
        <w:bottom w:val="single" w:sz="4" w:space="1" w:color="auto"/>
      </w:pBdr>
      <w:tabs>
        <w:tab w:val="clear" w:pos="4513"/>
        <w:tab w:val="clear" w:pos="9027"/>
      </w:tabs>
      <w:jc w:val="center"/>
    </w:pPr>
  </w:p>
  <w:p w:rsidR="009239F7" w:rsidRPr="002F6A28" w:rsidP="009239F7" w14:paraId="2A32BEB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7CBF8E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26C9D88" w14:textId="77777777">
    <w:pPr>
      <w:pStyle w:val="Header"/>
      <w:pBdr>
        <w:bottom w:val="single" w:sz="4" w:space="1" w:color="auto"/>
      </w:pBdr>
      <w:tabs>
        <w:tab w:val="clear" w:pos="4513"/>
        <w:tab w:val="clear" w:pos="9027"/>
      </w:tabs>
      <w:jc w:val="center"/>
    </w:pPr>
    <w:bookmarkStart w:id="0" w:name="spsSymbolHeader"/>
    <w:r w:rsidRPr="002F6A28">
      <w:t>G/TBT/N/GUY/66</w:t>
    </w:r>
    <w:bookmarkEnd w:id="0"/>
  </w:p>
  <w:p w:rsidR="009239F7" w:rsidRPr="002F6A28" w:rsidP="009239F7" w14:paraId="6BE42C0B" w14:textId="77777777">
    <w:pPr>
      <w:pStyle w:val="Header"/>
      <w:pBdr>
        <w:bottom w:val="single" w:sz="4" w:space="1" w:color="auto"/>
      </w:pBdr>
      <w:tabs>
        <w:tab w:val="clear" w:pos="4513"/>
        <w:tab w:val="clear" w:pos="9027"/>
      </w:tabs>
      <w:jc w:val="center"/>
    </w:pPr>
  </w:p>
  <w:p w:rsidR="009239F7" w:rsidRPr="002F6A28" w:rsidP="009239F7" w14:paraId="2B7A805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159A0ABB"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E58BE82"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AF7875E"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051128D9" w14:textId="77777777">
          <w:pPr>
            <w:jc w:val="right"/>
            <w:rPr>
              <w:b/>
              <w:color w:val="FF0000"/>
              <w:szCs w:val="16"/>
            </w:rPr>
          </w:pPr>
        </w:p>
      </w:tc>
    </w:tr>
    <w:bookmarkEnd w:id="1"/>
    <w:tr w14:paraId="0A21F006"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D916B7A"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ED4F0AD" w14:textId="77777777">
          <w:pPr>
            <w:jc w:val="right"/>
            <w:rPr>
              <w:b/>
              <w:szCs w:val="16"/>
            </w:rPr>
          </w:pPr>
        </w:p>
      </w:tc>
    </w:tr>
    <w:tr w14:paraId="7F18AAFD"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5301BB1E"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4745CCC" w14:textId="77777777">
          <w:pPr>
            <w:jc w:val="right"/>
            <w:rPr>
              <w:b/>
              <w:szCs w:val="16"/>
            </w:rPr>
          </w:pPr>
          <w:bookmarkStart w:id="2" w:name="bmkSymbols"/>
          <w:r w:rsidRPr="002F6A28">
            <w:rPr>
              <w:b/>
              <w:szCs w:val="16"/>
            </w:rPr>
            <w:t>G/TBT/N/GUY/66</w:t>
          </w:r>
          <w:bookmarkEnd w:id="2"/>
        </w:p>
      </w:tc>
    </w:tr>
    <w:tr w14:paraId="60D21180"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064A48B" w14:textId="77777777"/>
      </w:tc>
      <w:tc>
        <w:tcPr>
          <w:tcW w:w="5448" w:type="dxa"/>
          <w:gridSpan w:val="2"/>
          <w:shd w:val="clear" w:color="auto" w:fill="FFFFFF"/>
          <w:tcMar>
            <w:left w:w="108" w:type="dxa"/>
            <w:right w:w="108" w:type="dxa"/>
          </w:tcMar>
          <w:vAlign w:val="center"/>
        </w:tcPr>
        <w:p w:rsidR="00ED54E0" w:rsidRPr="009239F7" w:rsidP="00B801E9" w14:paraId="6009536B" w14:textId="77777777">
          <w:pPr>
            <w:jc w:val="right"/>
            <w:rPr>
              <w:szCs w:val="16"/>
            </w:rPr>
          </w:pPr>
          <w:bookmarkStart w:id="3" w:name="spsDateDistribution"/>
          <w:bookmarkStart w:id="4" w:name="bmkDate"/>
          <w:r w:rsidRPr="009239F7">
            <w:rPr>
              <w:szCs w:val="16"/>
            </w:rPr>
            <w:t>13 January 2026</w:t>
          </w:r>
          <w:bookmarkEnd w:id="3"/>
          <w:bookmarkEnd w:id="4"/>
        </w:p>
      </w:tc>
    </w:tr>
    <w:tr w14:paraId="31E03152"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75F64F56" w14:textId="77777777">
          <w:pPr>
            <w:jc w:val="left"/>
            <w:rPr>
              <w:b/>
            </w:rPr>
          </w:pPr>
          <w:bookmarkStart w:id="5" w:name="bmkSerial"/>
          <w:r>
            <w:rPr>
              <w:rFonts w:ascii="Verdana" w:eastAsia="Verdana" w:hAnsi="Verdana" w:cs="Verdana"/>
              <w:b w:val="0"/>
              <w:color w:val="FF0000"/>
              <w:sz w:val="18"/>
            </w:rPr>
            <w:t>(26-0282)</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54E8F68"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F823B49"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0D0D489"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67632A8"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2229462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35049877">
    <w:abstractNumId w:val="9"/>
  </w:num>
  <w:num w:numId="2" w16cid:durableId="1663193764">
    <w:abstractNumId w:val="7"/>
  </w:num>
  <w:num w:numId="3" w16cid:durableId="129712806">
    <w:abstractNumId w:val="6"/>
  </w:num>
  <w:num w:numId="4" w16cid:durableId="1094547441">
    <w:abstractNumId w:val="5"/>
  </w:num>
  <w:num w:numId="5" w16cid:durableId="1138761144">
    <w:abstractNumId w:val="4"/>
  </w:num>
  <w:num w:numId="6" w16cid:durableId="307591654">
    <w:abstractNumId w:val="12"/>
  </w:num>
  <w:num w:numId="7" w16cid:durableId="3898320">
    <w:abstractNumId w:val="11"/>
  </w:num>
  <w:num w:numId="8" w16cid:durableId="1683967867">
    <w:abstractNumId w:val="10"/>
  </w:num>
  <w:num w:numId="9" w16cid:durableId="12319603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29165053">
    <w:abstractNumId w:val="13"/>
  </w:num>
  <w:num w:numId="11" w16cid:durableId="1955626878">
    <w:abstractNumId w:val="8"/>
  </w:num>
  <w:num w:numId="12" w16cid:durableId="1569683793">
    <w:abstractNumId w:val="3"/>
  </w:num>
  <w:num w:numId="13" w16cid:durableId="1333022021">
    <w:abstractNumId w:val="2"/>
  </w:num>
  <w:num w:numId="14" w16cid:durableId="113059847">
    <w:abstractNumId w:val="1"/>
  </w:num>
  <w:num w:numId="15" w16cid:durableId="457724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37CAE"/>
    <w:rsid w:val="000423BF"/>
    <w:rsid w:val="000658AC"/>
    <w:rsid w:val="00071825"/>
    <w:rsid w:val="00072B36"/>
    <w:rsid w:val="00072B57"/>
    <w:rsid w:val="00074E62"/>
    <w:rsid w:val="00077F76"/>
    <w:rsid w:val="0008077C"/>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A23D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01A83"/>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05701"/>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260F9"/>
    <w:rsid w:val="00B4237E"/>
    <w:rsid w:val="00B52738"/>
    <w:rsid w:val="00B55105"/>
    <w:rsid w:val="00B5689B"/>
    <w:rsid w:val="00B56EDC"/>
    <w:rsid w:val="00B57342"/>
    <w:rsid w:val="00B6007A"/>
    <w:rsid w:val="00B7102C"/>
    <w:rsid w:val="00B801E9"/>
    <w:rsid w:val="00B97638"/>
    <w:rsid w:val="00BB0455"/>
    <w:rsid w:val="00BB1F84"/>
    <w:rsid w:val="00BD5D17"/>
    <w:rsid w:val="00BE1A05"/>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9314C71"/>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gnbsgy.org" TargetMode="External" /><Relationship Id="rId11" Type="http://schemas.openxmlformats.org/officeDocument/2006/relationships/hyperlink" Target="mailto:wto-tbt.enquiry@gnbsgy.org" TargetMode="External" /><Relationship Id="rId12" Type="http://schemas.openxmlformats.org/officeDocument/2006/relationships/hyperlink" Target="http://www.gnbsgy.org"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GUY/26_00282_00_e.pdf" TargetMode="External" /><Relationship Id="rId7" Type="http://schemas.openxmlformats.org/officeDocument/2006/relationships/hyperlink" Target="https://gnbsgy.org/wp-content/uploads/2026/01/Enquiry-draft.pdf" TargetMode="External" /><Relationship Id="rId8" Type="http://schemas.openxmlformats.org/officeDocument/2006/relationships/hyperlink" Target="mailto:public.comments@gnbsgy.org" TargetMode="External" /><Relationship Id="rId9" Type="http://schemas.openxmlformats.org/officeDocument/2006/relationships/hyperlink" Target="mailto:standards@gnbsgy.org"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eyJucyI6Imh0dHA6XC9cL3d3dy50aXR1cy5jb21cL25zXC9Xb3JsZCBUcmFkZSBPcmdhbml6YXRpb24iLCJwcm9wcyI6W3sibiI6IldUT0NMQVNTSUZJQ0FUSU9OIiwidmFscyI6W3sidmFsdWUiOiJQVUJMSUMifV19XX0=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7C10A-4DAD-4CC1-8CA8-763F98D6FD78}">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606</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Carter-Johnson, Victoria</cp:lastModifiedBy>
  <cp:revision>3</cp:revision>
  <dcterms:created xsi:type="dcterms:W3CDTF">2026-01-13T14:55:00Z</dcterms:created>
  <dcterms:modified xsi:type="dcterms:W3CDTF">2026-01-13T15:00:00Z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PUBLIC</vt:lpwstr>
  </property>
</Properties>
</file>