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33D7058" w14:textId="77777777">
      <w:pPr>
        <w:pStyle w:val="Title"/>
      </w:pPr>
      <w:r w:rsidRPr="002F663C">
        <w:t>NOTIFICATION</w:t>
      </w:r>
    </w:p>
    <w:p w:rsidR="002F663C" w:rsidRPr="002F663C" w:rsidP="00DD3DD7" w14:paraId="670B8009" w14:textId="77777777">
      <w:pPr>
        <w:pStyle w:val="Title3"/>
      </w:pPr>
      <w:r w:rsidRPr="002F663C">
        <w:t>Addendum</w:t>
      </w:r>
    </w:p>
    <w:p w:rsidR="002F663C" w:rsidP="001E2E4A" w14:paraId="3F3BCF9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6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749770B3" w14:textId="77777777">
      <w:pPr>
        <w:rPr>
          <w:rFonts w:eastAsia="Calibri" w:cs="Times New Roman"/>
        </w:rPr>
      </w:pPr>
    </w:p>
    <w:p w:rsidR="002F663C" w:rsidRPr="002F663C" w:rsidP="002F663C" w14:paraId="70CB809B" w14:textId="77777777">
      <w:pPr>
        <w:jc w:val="center"/>
        <w:rPr>
          <w:rFonts w:eastAsia="Calibri" w:cs="Times New Roman"/>
          <w:b/>
        </w:rPr>
      </w:pPr>
      <w:r w:rsidRPr="002F663C">
        <w:rPr>
          <w:rFonts w:eastAsia="Calibri" w:cs="Times New Roman"/>
          <w:b/>
        </w:rPr>
        <w:t>_______________</w:t>
      </w:r>
    </w:p>
    <w:p w:rsidR="002F663C" w:rsidP="002F663C" w14:paraId="4A11A4A2" w14:textId="77777777">
      <w:pPr>
        <w:rPr>
          <w:rFonts w:eastAsia="Calibri" w:cs="Times New Roman"/>
        </w:rPr>
      </w:pPr>
    </w:p>
    <w:p w:rsidR="00C14444" w:rsidRPr="002F663C" w:rsidP="002F663C" w14:paraId="21E5AB1A" w14:textId="77777777">
      <w:pPr>
        <w:rPr>
          <w:rFonts w:eastAsia="Calibri" w:cs="Times New Roman"/>
        </w:rPr>
      </w:pPr>
    </w:p>
    <w:p w:rsidR="002F663C" w:rsidRPr="002F663C" w:rsidP="002F663C" w14:paraId="02E1CC8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Butyl Benzyl Phthalate (BBP), Dibutyl Phthalate (DBP), Dicyclohexyl Phthalate (DCHP), Diethylhexyl Phthalate (DEHP), and Diisobutyl Phthalate (DIBP); Risk Evaluation under the Toxic Substances Control Act (TSCA); Notice of Availability</w:t>
      </w:r>
    </w:p>
    <w:p w:rsidR="002F663C" w:rsidRPr="002F663C" w:rsidP="002F663C" w14:paraId="2B7026D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EC471F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88EF11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2BB36E4" w14:textId="77777777" w:rsidTr="00E9471B">
        <w:tblPrEx>
          <w:tblW w:w="9049" w:type="dxa"/>
          <w:tblLayout w:type="fixed"/>
          <w:tblLook w:val="04A0"/>
        </w:tblPrEx>
        <w:tc>
          <w:tcPr>
            <w:tcW w:w="851" w:type="dxa"/>
          </w:tcPr>
          <w:p w:rsidR="002F663C" w:rsidRPr="00711F9C" w:rsidP="00C14444" w14:paraId="01553D2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E17664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D6279B6" w14:textId="77777777" w:rsidTr="00E9471B">
        <w:tblPrEx>
          <w:tblW w:w="9049" w:type="dxa"/>
          <w:tblLayout w:type="fixed"/>
          <w:tblLook w:val="04A0"/>
        </w:tblPrEx>
        <w:tc>
          <w:tcPr>
            <w:tcW w:w="851" w:type="dxa"/>
          </w:tcPr>
          <w:p w:rsidR="002F663C" w:rsidRPr="00711F9C" w:rsidP="00C14444" w14:paraId="0335954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9ABC2F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3A3557E" w14:textId="77777777" w:rsidTr="00E9471B">
        <w:tblPrEx>
          <w:tblW w:w="9049" w:type="dxa"/>
          <w:tblLayout w:type="fixed"/>
          <w:tblLook w:val="04A0"/>
        </w:tblPrEx>
        <w:tc>
          <w:tcPr>
            <w:tcW w:w="851" w:type="dxa"/>
          </w:tcPr>
          <w:p w:rsidR="002F663C" w:rsidRPr="00711F9C" w:rsidP="00C14444" w14:paraId="15E403A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76CCA8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026E86F" w14:textId="77777777" w:rsidTr="00E9471B">
        <w:tblPrEx>
          <w:tblW w:w="9049" w:type="dxa"/>
          <w:tblLayout w:type="fixed"/>
          <w:tblLook w:val="04A0"/>
        </w:tblPrEx>
        <w:tc>
          <w:tcPr>
            <w:tcW w:w="851" w:type="dxa"/>
          </w:tcPr>
          <w:p w:rsidR="002F663C" w:rsidRPr="00711F9C" w:rsidP="00C14444" w14:paraId="3C13AD8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9F5A77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C844F36" w14:textId="77777777" w:rsidTr="00E9471B">
        <w:tblPrEx>
          <w:tblW w:w="9049" w:type="dxa"/>
          <w:tblLayout w:type="fixed"/>
          <w:tblLook w:val="04A0"/>
        </w:tblPrEx>
        <w:tc>
          <w:tcPr>
            <w:tcW w:w="851" w:type="dxa"/>
          </w:tcPr>
          <w:p w:rsidR="002F663C" w:rsidRPr="00711F9C" w:rsidP="00C14444" w14:paraId="2FAFC07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4787745"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63888C7" w14:textId="77777777" w:rsidTr="00E9471B">
        <w:tblPrEx>
          <w:tblW w:w="9049" w:type="dxa"/>
          <w:tblLayout w:type="fixed"/>
          <w:tblLook w:val="04A0"/>
        </w:tblPrEx>
        <w:tc>
          <w:tcPr>
            <w:tcW w:w="851" w:type="dxa"/>
          </w:tcPr>
          <w:p w:rsidR="002F663C" w:rsidRPr="00711F9C" w:rsidP="00C14444" w14:paraId="1ADF867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C3721E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A1C997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F53DE86" w14:textId="77777777" w:rsidTr="00E9471B">
        <w:tblPrEx>
          <w:tblW w:w="9049" w:type="dxa"/>
          <w:tblLayout w:type="fixed"/>
          <w:tblLook w:val="04A0"/>
        </w:tblPrEx>
        <w:tc>
          <w:tcPr>
            <w:tcW w:w="851" w:type="dxa"/>
          </w:tcPr>
          <w:p w:rsidR="002F663C" w:rsidRPr="00711F9C" w:rsidP="00C14444" w14:paraId="71E4219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7EA96D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DA8C9D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2BCD5A6" w14:textId="77777777" w:rsidTr="00E9471B">
        <w:tblPrEx>
          <w:tblW w:w="9049" w:type="dxa"/>
          <w:tblLayout w:type="fixed"/>
          <w:tblLook w:val="04A0"/>
        </w:tblPrEx>
        <w:tc>
          <w:tcPr>
            <w:tcW w:w="851" w:type="dxa"/>
          </w:tcPr>
          <w:p w:rsidR="002F663C" w:rsidRPr="00711F9C" w:rsidP="00C14444" w14:paraId="3F8C94F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F3BC33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29C714B" w14:textId="77777777" w:rsidTr="00E9471B">
        <w:tblPrEx>
          <w:tblW w:w="9049" w:type="dxa"/>
          <w:tblLayout w:type="fixed"/>
          <w:tblLook w:val="04A0"/>
        </w:tblPrEx>
        <w:tc>
          <w:tcPr>
            <w:tcW w:w="851" w:type="dxa"/>
            <w:tcBorders>
              <w:bottom w:val="double" w:sz="4" w:space="0" w:color="auto"/>
            </w:tcBorders>
          </w:tcPr>
          <w:p w:rsidR="002F663C" w:rsidRPr="00711F9C" w:rsidP="00C14444" w14:paraId="215CEB6B"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04C01E80"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95EC893" w14:textId="77777777">
            <w:pPr>
              <w:spacing w:before="120" w:after="120"/>
              <w:rPr>
                <w:rFonts w:eastAsia="Calibri" w:cs="Times New Roman"/>
              </w:rPr>
            </w:pPr>
            <w:r>
              <w:rPr>
                <w:rFonts w:eastAsia="Calibri" w:cs="Times New Roman"/>
              </w:rPr>
              <w:t>Notice of Availability</w:t>
            </w:r>
          </w:p>
          <w:p w:rsidR="00467A46" w:rsidP="00EB7B40" w14:paraId="24419276"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https://members.wto.org/crnattachments/2026/TBT/USA/26_00116_00_e.pdf</w:t>
              </w:r>
            </w:hyperlink>
          </w:p>
        </w:tc>
      </w:tr>
      <w:bookmarkEnd w:id="0"/>
    </w:tbl>
    <w:p w:rsidR="002F663C" w:rsidRPr="002F663C" w:rsidP="002F663C" w14:paraId="46B2F51B" w14:textId="77777777">
      <w:pPr>
        <w:jc w:val="left"/>
        <w:rPr>
          <w:rFonts w:eastAsia="Calibri" w:cs="Times New Roman"/>
          <w:highlight w:val="yellow"/>
        </w:rPr>
      </w:pPr>
    </w:p>
    <w:p w:rsidR="003971FF" w:rsidRPr="007F6EA2" w:rsidP="00B16ACF" w14:paraId="5A71E2C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announcing the availability of the final risk evaluations under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xml:space="preserve">) for </w:t>
      </w:r>
      <w:hyperlink r:id="rId9" w:history="1">
        <w:r w:rsidRPr="002F663C">
          <w:rPr>
            <w:rFonts w:eastAsia="Calibri" w:cs="Times New Roman"/>
            <w:color w:val="0000FF"/>
            <w:szCs w:val="18"/>
            <w:u w:val="single"/>
          </w:rPr>
          <w:t>Butyl Benzyl Phthalate (BBP) (CARSN 85-68-7)</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Dibutyl Phthalate (DBP) (CASRN 84-74-2)</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Dicyclohexyl Phthalate (DCHP) (CASRN 84-61-7)</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Diethylhexyl Phthalate (DEHP) (CASRN 117-81-7)</w:t>
        </w:r>
      </w:hyperlink>
      <w:r w:rsidRPr="002F663C">
        <w:rPr>
          <w:rFonts w:eastAsia="Calibri" w:cs="Times New Roman"/>
          <w:szCs w:val="18"/>
        </w:rPr>
        <w:t xml:space="preserve">, and </w:t>
      </w:r>
      <w:hyperlink r:id="rId13" w:history="1">
        <w:r w:rsidRPr="002F663C">
          <w:rPr>
            <w:rFonts w:eastAsia="Calibri" w:cs="Times New Roman"/>
            <w:color w:val="0000FF"/>
            <w:szCs w:val="18"/>
            <w:u w:val="single"/>
          </w:rPr>
          <w:t>Diisobutyl Phthalate (DIBP) (CASRN 84-69-5)</w:t>
        </w:r>
      </w:hyperlink>
      <w:r w:rsidRPr="002F663C">
        <w:rPr>
          <w:rFonts w:eastAsia="Calibri" w:cs="Times New Roman"/>
          <w:szCs w:val="18"/>
        </w:rPr>
        <w:t>. The purpose of conducting risk evaluations under TSCA is to determine whether a chemical substance presents an unreasonable risk of injury to health or the environment, without consideration of costs or non-risk factors, including unreasonable risk to potentially exposed or susceptible subpopulations identified as relevant to the risk evaluation by EPA, under the conditions of use. EPA used the best available science to prepare these final risk evaluations, and determined, based on the weight of scientifi</w:t>
      </w:r>
      <w:r w:rsidRPr="002F663C">
        <w:rPr>
          <w:rFonts w:eastAsia="Calibri" w:cs="Times New Roman"/>
          <w:szCs w:val="18"/>
        </w:rPr>
        <w:t xml:space="preserve">c evidence, that BBP, DBP, DCHP, DEHP, and DIBP pose </w:t>
      </w:r>
      <w:r w:rsidRPr="002F663C">
        <w:rPr>
          <w:rFonts w:eastAsia="Calibri" w:cs="Times New Roman"/>
          <w:szCs w:val="18"/>
        </w:rPr>
        <w:t>unreasonable risk to human health and/or the environment driven by specific conditions of use. Under TSCA, EPA must initiate risk management actions to address the unreasonable risk.</w:t>
      </w:r>
    </w:p>
    <w:p w:rsidR="00A221D2" w:rsidRPr="002F663C" w:rsidP="00B16ACF" w14:paraId="5E14DDB4" w14:textId="77777777">
      <w:pPr>
        <w:spacing w:before="120" w:after="120"/>
        <w:rPr>
          <w:rFonts w:eastAsia="Calibri" w:cs="Times New Roman"/>
          <w:szCs w:val="18"/>
        </w:rPr>
      </w:pPr>
      <w:r w:rsidRPr="002F663C">
        <w:rPr>
          <w:rFonts w:eastAsia="Calibri" w:cs="Times New Roman"/>
          <w:szCs w:val="18"/>
        </w:rPr>
        <w:t>91 Federal Register (FR) 373, 6 January 2026:</w:t>
      </w:r>
    </w:p>
    <w:p w:rsidR="00A221D2" w:rsidRPr="002F663C" w:rsidP="00B16ACF" w14:paraId="618A2931"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https://www.govinfo.gov/content/pkg/FR-2026-01-06/html/2025-24290.htm</w:t>
        </w:r>
      </w:hyperlink>
    </w:p>
    <w:p w:rsidR="00A221D2" w:rsidRPr="002F663C" w:rsidP="00B16ACF" w14:paraId="0C5B1EBC"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https://www.govinfo.gov/content/pkg/FR-2026-01-06/pdf/2025-24290.pdf</w:t>
        </w:r>
      </w:hyperlink>
    </w:p>
    <w:p w:rsidR="00A221D2" w:rsidRPr="002F663C" w:rsidP="00B16ACF" w14:paraId="1EB6D549" w14:textId="77777777">
      <w:pPr>
        <w:spacing w:before="120" w:after="120"/>
        <w:rPr>
          <w:rFonts w:eastAsia="Calibri" w:cs="Times New Roman"/>
          <w:szCs w:val="18"/>
        </w:rPr>
      </w:pPr>
      <w:r w:rsidRPr="002F663C">
        <w:rPr>
          <w:rFonts w:eastAsia="Calibri" w:cs="Times New Roman"/>
          <w:szCs w:val="18"/>
        </w:rPr>
        <w:t xml:space="preserve">This notice of availability and previous actions notified under the symbol </w:t>
      </w:r>
      <w:hyperlink r:id="rId16" w:history="1">
        <w:r w:rsidRPr="002F663C">
          <w:rPr>
            <w:rFonts w:eastAsia="Calibri" w:cs="Times New Roman"/>
            <w:color w:val="0000FF"/>
            <w:szCs w:val="18"/>
            <w:u w:val="single"/>
          </w:rPr>
          <w:t>G/TBT/N/USA/2176</w:t>
        </w:r>
      </w:hyperlink>
      <w:r w:rsidRPr="002F663C">
        <w:rPr>
          <w:rFonts w:eastAsia="Calibri" w:cs="Times New Roman"/>
          <w:szCs w:val="18"/>
        </w:rPr>
        <w:t xml:space="preserve"> are identified by Docket Number EPA-HQ-OPPT-2018-0504. The Docket Folder is available on Regulations.gov at </w:t>
      </w:r>
      <w:hyperlink r:id="rId17" w:history="1">
        <w:r w:rsidRPr="002F663C">
          <w:rPr>
            <w:rFonts w:eastAsia="Calibri" w:cs="Times New Roman"/>
            <w:color w:val="0000FF"/>
            <w:szCs w:val="18"/>
            <w:u w:val="single"/>
          </w:rPr>
          <w:t>https://www.regulations.gov/docket/EPA-HQ-OPPT-2018-0504/document</w:t>
        </w:r>
      </w:hyperlink>
      <w:r w:rsidRPr="002F663C">
        <w:rPr>
          <w:rFonts w:eastAsia="Calibri" w:cs="Times New Roman"/>
          <w:szCs w:val="18"/>
        </w:rPr>
        <w:t xml:space="preserve"> and provides access to primary and supporting documents as well as comments received. Documents are also accessible from </w:t>
      </w:r>
      <w:hyperlink r:id="rId18"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72113D4" w14:textId="77777777">
      <w:pPr>
        <w:jc w:val="center"/>
        <w:rPr>
          <w:b/>
        </w:rPr>
      </w:pPr>
      <w:r w:rsidRPr="003971FF">
        <w:rPr>
          <w:b/>
        </w:rPr>
        <w:t>__________</w:t>
      </w:r>
    </w:p>
    <w:p w:rsidR="004D4D19" w:rsidP="007F38C2" w14:paraId="7B02A2B3" w14:textId="77777777">
      <w:pPr>
        <w:jc w:val="center"/>
        <w:rPr>
          <w:b/>
        </w:rPr>
      </w:pPr>
    </w:p>
    <w:p w:rsidR="00A1565D" w:rsidP="003971FF" w14:paraId="2F28A271"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C0970A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72654E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8490272" w14:textId="77777777">
      <w:r>
        <w:separator/>
      </w:r>
    </w:p>
  </w:footnote>
  <w:footnote w:type="continuationSeparator" w:id="1">
    <w:p w:rsidR="004D3A6A" w:rsidP="00ED54E0" w14:paraId="6B70DD77" w14:textId="77777777">
      <w:r>
        <w:continuationSeparator/>
      </w:r>
    </w:p>
  </w:footnote>
  <w:footnote w:id="2">
    <w:p w:rsidR="007F6EA2" w14:paraId="56AF257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73CD7F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434D88C" w14:textId="77777777">
    <w:pPr>
      <w:pStyle w:val="Header"/>
      <w:pBdr>
        <w:bottom w:val="single" w:sz="4" w:space="1" w:color="auto"/>
      </w:pBdr>
      <w:tabs>
        <w:tab w:val="clear" w:pos="4513"/>
        <w:tab w:val="clear" w:pos="9027"/>
      </w:tabs>
      <w:jc w:val="center"/>
    </w:pPr>
  </w:p>
  <w:p w:rsidR="00DD3DD7" w:rsidRPr="00DD3DD7" w:rsidP="00DD3DD7" w14:paraId="6A643BD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2587DC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B851578" w14:textId="77777777">
    <w:pPr>
      <w:pStyle w:val="Header"/>
      <w:pBdr>
        <w:bottom w:val="single" w:sz="4" w:space="1" w:color="auto"/>
      </w:pBdr>
      <w:tabs>
        <w:tab w:val="clear" w:pos="4513"/>
        <w:tab w:val="clear" w:pos="9027"/>
      </w:tabs>
      <w:jc w:val="center"/>
    </w:pPr>
    <w:bookmarkStart w:id="3" w:name="spsSymbolHeader"/>
    <w:r w:rsidRPr="00DD3DD7">
      <w:t>G/TBT/N/USA/2176/Add.2</w:t>
    </w:r>
    <w:bookmarkEnd w:id="3"/>
  </w:p>
  <w:p w:rsidR="00DD3DD7" w:rsidRPr="00DD3DD7" w:rsidP="00DD3DD7" w14:paraId="3B95A7D0" w14:textId="77777777">
    <w:pPr>
      <w:pStyle w:val="Header"/>
      <w:pBdr>
        <w:bottom w:val="single" w:sz="4" w:space="1" w:color="auto"/>
      </w:pBdr>
      <w:tabs>
        <w:tab w:val="clear" w:pos="4513"/>
        <w:tab w:val="clear" w:pos="9027"/>
      </w:tabs>
      <w:jc w:val="center"/>
    </w:pPr>
  </w:p>
  <w:p w:rsidR="00DD3DD7" w:rsidRPr="00DD3DD7" w:rsidP="00DD3DD7" w14:paraId="77539CE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DB7D2B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B98A5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37D5EF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BB0B918" w14:textId="77777777">
          <w:pPr>
            <w:jc w:val="right"/>
            <w:rPr>
              <w:b/>
              <w:color w:val="FF0000"/>
              <w:szCs w:val="16"/>
            </w:rPr>
          </w:pPr>
          <w:r>
            <w:rPr>
              <w:b/>
              <w:color w:val="FF0000"/>
              <w:szCs w:val="16"/>
            </w:rPr>
            <w:t xml:space="preserve"> </w:t>
          </w:r>
        </w:p>
      </w:tc>
    </w:tr>
    <w:tr w14:paraId="36500A5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9FCDD0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4B95DCA" w14:textId="77777777">
          <w:pPr>
            <w:jc w:val="right"/>
            <w:rPr>
              <w:b/>
              <w:szCs w:val="16"/>
            </w:rPr>
          </w:pPr>
        </w:p>
      </w:tc>
    </w:tr>
    <w:tr w14:paraId="617E9D2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7A8898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7B12AE1" w14:textId="77777777">
          <w:pPr>
            <w:jc w:val="right"/>
            <w:rPr>
              <w:rFonts w:eastAsia="Calibri" w:cs="Times New Roman"/>
              <w:b/>
              <w:szCs w:val="16"/>
            </w:rPr>
          </w:pPr>
          <w:bookmarkStart w:id="4" w:name="bmkSymbols"/>
          <w:r w:rsidRPr="002F663C">
            <w:rPr>
              <w:rFonts w:eastAsia="Calibri" w:cs="Times New Roman"/>
              <w:b/>
              <w:szCs w:val="16"/>
            </w:rPr>
            <w:t>G/TBT/N/USA/2176/Add.2</w:t>
          </w:r>
          <w:bookmarkEnd w:id="4"/>
        </w:p>
        <w:p w:rsidR="00C14444" w:rsidRPr="00C14444" w:rsidP="00C14444" w14:paraId="42C6D8F9" w14:textId="77777777">
          <w:pPr>
            <w:jc w:val="center"/>
            <w:rPr>
              <w:szCs w:val="16"/>
            </w:rPr>
          </w:pPr>
        </w:p>
      </w:tc>
    </w:tr>
    <w:tr w14:paraId="1D84291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15EB834" w14:textId="77777777"/>
      </w:tc>
      <w:tc>
        <w:tcPr>
          <w:tcW w:w="5448" w:type="dxa"/>
          <w:gridSpan w:val="2"/>
          <w:shd w:val="clear" w:color="auto" w:fill="FFFFFF"/>
          <w:tcMar>
            <w:left w:w="108" w:type="dxa"/>
            <w:right w:w="108" w:type="dxa"/>
          </w:tcMar>
          <w:vAlign w:val="center"/>
        </w:tcPr>
        <w:p w:rsidR="00ED54E0" w:rsidRPr="00182B84" w:rsidP="00425DC5" w14:paraId="39CD8C17" w14:textId="77777777">
          <w:pPr>
            <w:jc w:val="right"/>
            <w:rPr>
              <w:szCs w:val="16"/>
            </w:rPr>
          </w:pPr>
          <w:bookmarkStart w:id="5" w:name="bmkDate"/>
          <w:r w:rsidRPr="00182B84">
            <w:rPr>
              <w:szCs w:val="16"/>
            </w:rPr>
            <w:t>8 January 2026</w:t>
          </w:r>
          <w:bookmarkEnd w:id="5"/>
        </w:p>
      </w:tc>
    </w:tr>
    <w:tr w14:paraId="49F2D71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2295648" w14:textId="77777777">
          <w:pPr>
            <w:jc w:val="left"/>
            <w:rPr>
              <w:b/>
            </w:rPr>
          </w:pPr>
          <w:bookmarkStart w:id="6" w:name="bmkSerial"/>
          <w:r>
            <w:rPr>
              <w:rFonts w:ascii="Verdana" w:eastAsia="Verdana" w:hAnsi="Verdana" w:cs="Verdana"/>
              <w:b w:val="0"/>
              <w:color w:val="FF0000"/>
              <w:sz w:val="18"/>
            </w:rPr>
            <w:t>(26-0199)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6DFFCD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0A2E72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43235D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547701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48BD9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4808111">
    <w:abstractNumId w:val="9"/>
  </w:num>
  <w:num w:numId="2" w16cid:durableId="753625016">
    <w:abstractNumId w:val="7"/>
  </w:num>
  <w:num w:numId="3" w16cid:durableId="1652707537">
    <w:abstractNumId w:val="6"/>
  </w:num>
  <w:num w:numId="4" w16cid:durableId="1743521129">
    <w:abstractNumId w:val="5"/>
  </w:num>
  <w:num w:numId="5" w16cid:durableId="522206373">
    <w:abstractNumId w:val="4"/>
  </w:num>
  <w:num w:numId="6" w16cid:durableId="1457990548">
    <w:abstractNumId w:val="12"/>
  </w:num>
  <w:num w:numId="7" w16cid:durableId="820469092">
    <w:abstractNumId w:val="11"/>
  </w:num>
  <w:num w:numId="8" w16cid:durableId="1061487913">
    <w:abstractNumId w:val="10"/>
  </w:num>
  <w:num w:numId="9" w16cid:durableId="1940874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801249">
    <w:abstractNumId w:val="13"/>
  </w:num>
  <w:num w:numId="11" w16cid:durableId="213389490">
    <w:abstractNumId w:val="8"/>
  </w:num>
  <w:num w:numId="12" w16cid:durableId="923995741">
    <w:abstractNumId w:val="3"/>
  </w:num>
  <w:num w:numId="13" w16cid:durableId="1923752462">
    <w:abstractNumId w:val="2"/>
  </w:num>
  <w:num w:numId="14" w16cid:durableId="888882367">
    <w:abstractNumId w:val="1"/>
  </w:num>
  <w:num w:numId="15" w16cid:durableId="557476800">
    <w:abstractNumId w:val="0"/>
  </w:num>
  <w:num w:numId="16" w16cid:durableId="70255382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221D2"/>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3E0F"/>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C3C12"/>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03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iris.epa.gov/ChemicalLanding/&amp;substance_nmbr=38" TargetMode="External" /><Relationship Id="rId11" Type="http://schemas.openxmlformats.org/officeDocument/2006/relationships/hyperlink" Target="https://www.epa.gov/assessing-and-managing-chemicals-under-tsca/risk-evaluation-dicyclohexyl-phthalate-dchp" TargetMode="External" /><Relationship Id="rId12" Type="http://schemas.openxmlformats.org/officeDocument/2006/relationships/hyperlink" Target="https://iris.epa.gov/ChemicalLanding/&amp;substance_nmbr=14" TargetMode="External" /><Relationship Id="rId13" Type="http://schemas.openxmlformats.org/officeDocument/2006/relationships/hyperlink" Target="https://iris.epa.gov/ChemicalLanding/&amp;substance_nmbr=1030" TargetMode="External" /><Relationship Id="rId14" Type="http://schemas.openxmlformats.org/officeDocument/2006/relationships/hyperlink" Target="https://www.govinfo.gov/content/pkg/FR-2026-01-06/html/2025-24290.htm" TargetMode="External" /><Relationship Id="rId15" Type="http://schemas.openxmlformats.org/officeDocument/2006/relationships/hyperlink" Target="https://www.govinfo.gov/content/pkg/FR-2026-01-06/pdf/2025-24290.pdf" TargetMode="External" /><Relationship Id="rId16" Type="http://schemas.openxmlformats.org/officeDocument/2006/relationships/hyperlink" Target="https://eping.wto.org/en/Search?domainIds=1&amp;documentSymbol=USA%2F2176" TargetMode="External" /><Relationship Id="rId17" Type="http://schemas.openxmlformats.org/officeDocument/2006/relationships/hyperlink" Target="https://www.regulations.gov/docket/EPA-HQ-OPPT-2018-0504/document" TargetMode="External" /><Relationship Id="rId18" Type="http://schemas.openxmlformats.org/officeDocument/2006/relationships/hyperlink" Target="https://www.regulations.gov"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26_00116_00_e.pdf"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iris.epa.gov/ChemicalLanding/&amp;substance_nmbr%3D29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C2E5DBCC-ED56-4B1F-AA6B-6306F1F17B5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2026-01-08T09:15:00Z</dcterms:created>
  <dcterms:modified xsi:type="dcterms:W3CDTF">2026-01-08T09:15:00Z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