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F677629" w14:textId="77777777">
      <w:pPr>
        <w:pStyle w:val="Title"/>
      </w:pPr>
      <w:r w:rsidRPr="002F663C">
        <w:t>NOTIFICATION</w:t>
      </w:r>
    </w:p>
    <w:p w:rsidR="002F663C" w:rsidRPr="002F663C" w:rsidP="00DD3DD7" w14:paraId="5F2CB40C" w14:textId="77777777">
      <w:pPr>
        <w:pStyle w:val="Title3"/>
      </w:pPr>
      <w:r w:rsidRPr="002F663C">
        <w:t>Addendum</w:t>
      </w:r>
    </w:p>
    <w:p w:rsidR="002F663C" w:rsidP="001E2E4A" w14:paraId="5104103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5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Canada</w:t>
      </w:r>
      <w:r w:rsidRPr="002F663C">
        <w:rPr>
          <w:rFonts w:eastAsia="Calibri" w:cs="Times New Roman"/>
        </w:rPr>
        <w:t>.</w:t>
      </w:r>
    </w:p>
    <w:p w:rsidR="001E2E4A" w:rsidRPr="002F663C" w:rsidP="001E2E4A" w14:paraId="23EE0DDB" w14:textId="77777777">
      <w:pPr>
        <w:rPr>
          <w:rFonts w:eastAsia="Calibri" w:cs="Times New Roman"/>
        </w:rPr>
      </w:pPr>
    </w:p>
    <w:p w:rsidR="002F663C" w:rsidRPr="002F663C" w:rsidP="002F663C" w14:paraId="7E964D2B" w14:textId="77777777">
      <w:pPr>
        <w:jc w:val="center"/>
        <w:rPr>
          <w:rFonts w:eastAsia="Calibri" w:cs="Times New Roman"/>
          <w:b/>
        </w:rPr>
      </w:pPr>
      <w:r w:rsidRPr="002F663C">
        <w:rPr>
          <w:rFonts w:eastAsia="Calibri" w:cs="Times New Roman"/>
          <w:b/>
        </w:rPr>
        <w:t>_______________</w:t>
      </w:r>
    </w:p>
    <w:p w:rsidR="002F663C" w:rsidP="002F663C" w14:paraId="671B56D1" w14:textId="77777777">
      <w:pPr>
        <w:rPr>
          <w:rFonts w:eastAsia="Calibri" w:cs="Times New Roman"/>
        </w:rPr>
      </w:pPr>
    </w:p>
    <w:p w:rsidR="00C14444" w:rsidRPr="002F663C" w:rsidP="002F663C" w14:paraId="1EDE74DB" w14:textId="77777777">
      <w:pPr>
        <w:rPr>
          <w:rFonts w:eastAsia="Calibri" w:cs="Times New Roman"/>
        </w:rPr>
      </w:pPr>
    </w:p>
    <w:p w:rsidR="002F663C" w:rsidRPr="002F663C" w:rsidP="002F663C" w14:paraId="5735C2B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Prohibition of Certain Toxic Substances Regulations, 2025: SOR/2025-270</w:t>
      </w:r>
    </w:p>
    <w:p w:rsidR="002F663C" w:rsidRPr="002F663C" w:rsidP="002F663C" w14:paraId="447C839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FF3065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7D0CA6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E28B8FF" w14:textId="77777777" w:rsidTr="00E9471B">
        <w:tblPrEx>
          <w:tblW w:w="9049" w:type="dxa"/>
          <w:tblLayout w:type="fixed"/>
          <w:tblLook w:val="04A0"/>
        </w:tblPrEx>
        <w:tc>
          <w:tcPr>
            <w:tcW w:w="851" w:type="dxa"/>
          </w:tcPr>
          <w:p w:rsidR="002F663C" w:rsidRPr="00711F9C" w:rsidP="00C14444" w14:paraId="49467DB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050931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EB7700A" w14:textId="77777777" w:rsidTr="00E9471B">
        <w:tblPrEx>
          <w:tblW w:w="9049" w:type="dxa"/>
          <w:tblLayout w:type="fixed"/>
          <w:tblLook w:val="04A0"/>
        </w:tblPrEx>
        <w:tc>
          <w:tcPr>
            <w:tcW w:w="851" w:type="dxa"/>
          </w:tcPr>
          <w:p w:rsidR="002F663C" w:rsidRPr="00711F9C" w:rsidP="00C14444" w14:paraId="1B4DD2F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3A3671D"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12 December 2025</w:t>
            </w:r>
          </w:p>
        </w:tc>
      </w:tr>
      <w:tr w14:paraId="2D7FA3AC" w14:textId="77777777" w:rsidTr="00E9471B">
        <w:tblPrEx>
          <w:tblW w:w="9049" w:type="dxa"/>
          <w:tblLayout w:type="fixed"/>
          <w:tblLook w:val="04A0"/>
        </w:tblPrEx>
        <w:tc>
          <w:tcPr>
            <w:tcW w:w="851" w:type="dxa"/>
          </w:tcPr>
          <w:p w:rsidR="002F663C" w:rsidRPr="00711F9C" w:rsidP="00C14444" w14:paraId="5E522BC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166BD7A"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31 December 2025</w:t>
            </w:r>
          </w:p>
        </w:tc>
      </w:tr>
      <w:tr w14:paraId="2516208C" w14:textId="77777777" w:rsidTr="00E9471B">
        <w:tblPrEx>
          <w:tblW w:w="9049" w:type="dxa"/>
          <w:tblLayout w:type="fixed"/>
          <w:tblLook w:val="04A0"/>
        </w:tblPrEx>
        <w:tc>
          <w:tcPr>
            <w:tcW w:w="851" w:type="dxa"/>
          </w:tcPr>
          <w:p w:rsidR="002F663C" w:rsidRPr="00711F9C" w:rsidP="00C14444" w14:paraId="14B6D9B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5CB58B0"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30 June 2026</w:t>
            </w:r>
          </w:p>
        </w:tc>
      </w:tr>
      <w:tr w14:paraId="2F2DF128" w14:textId="77777777" w:rsidTr="00E9471B">
        <w:tblPrEx>
          <w:tblW w:w="9049" w:type="dxa"/>
          <w:tblLayout w:type="fixed"/>
          <w:tblLook w:val="04A0"/>
        </w:tblPrEx>
        <w:tc>
          <w:tcPr>
            <w:tcW w:w="851" w:type="dxa"/>
          </w:tcPr>
          <w:p w:rsidR="002F663C" w:rsidRPr="00711F9C" w:rsidP="00C14444" w14:paraId="5CEB4EB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A376A44"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AF49DDA" w14:textId="77777777">
            <w:pPr>
              <w:spacing w:before="120" w:after="120"/>
              <w:rPr>
                <w:rFonts w:eastAsia="Calibri" w:cs="Times New Roman"/>
              </w:rPr>
            </w:pPr>
            <w:r w:rsidRPr="002F663C">
              <w:rPr>
                <w:rFonts w:eastAsia="Calibri" w:cs="Times New Roman"/>
              </w:rPr>
              <w:t>Gazette:</w:t>
            </w:r>
          </w:p>
          <w:p w:rsidR="002F663C" w:rsidRPr="002F663C" w:rsidP="00EB7B40" w14:paraId="2558844C" w14:textId="77777777">
            <w:pPr>
              <w:spacing w:before="120" w:after="120"/>
              <w:rPr>
                <w:rFonts w:eastAsia="Calibri" w:cs="Times New Roman"/>
              </w:rPr>
            </w:pPr>
            <w:hyperlink r:id="rId7" w:tgtFrame="_blank" w:history="1">
              <w:r w:rsidRPr="002F663C">
                <w:rPr>
                  <w:rFonts w:eastAsia="Calibri" w:cs="Times New Roman"/>
                  <w:color w:val="0000FF"/>
                  <w:u w:val="single"/>
                </w:rPr>
                <w:t>https://gazette.gc.ca/rp-pr/p2/2025/2025-12-31/html/sor-dors270-eng.html</w:t>
              </w:r>
            </w:hyperlink>
            <w:r w:rsidRPr="002F663C" w:rsidR="0016749B">
              <w:rPr>
                <w:rFonts w:eastAsia="Calibri" w:cs="Times New Roman"/>
              </w:rPr>
              <w:t xml:space="preserve"> (English)</w:t>
            </w:r>
          </w:p>
          <w:p w:rsidR="002F663C" w:rsidRPr="002F663C" w:rsidP="00EB7B40" w14:paraId="4FD811C1" w14:textId="77777777">
            <w:pPr>
              <w:spacing w:before="120" w:after="120"/>
              <w:rPr>
                <w:rFonts w:eastAsia="Calibri" w:cs="Times New Roman"/>
              </w:rPr>
            </w:pPr>
            <w:hyperlink r:id="rId8" w:tgtFrame="_blank" w:history="1">
              <w:r w:rsidRPr="002F663C">
                <w:rPr>
                  <w:rFonts w:eastAsia="Calibri" w:cs="Times New Roman"/>
                  <w:color w:val="0000FF"/>
                  <w:u w:val="single"/>
                </w:rPr>
                <w:t>https://gazette.gc.ca/rp-pr/p2/2025/2025-12-31/html/sor-dors270-fra.html</w:t>
              </w:r>
            </w:hyperlink>
            <w:r w:rsidRPr="002F663C" w:rsidR="0016749B">
              <w:rPr>
                <w:rFonts w:eastAsia="Calibri" w:cs="Times New Roman"/>
              </w:rPr>
              <w:t xml:space="preserve"> (French)</w:t>
            </w:r>
          </w:p>
        </w:tc>
      </w:tr>
      <w:tr w14:paraId="3B03A30C" w14:textId="77777777" w:rsidTr="00E9471B">
        <w:tblPrEx>
          <w:tblW w:w="9049" w:type="dxa"/>
          <w:tblLayout w:type="fixed"/>
          <w:tblLook w:val="04A0"/>
        </w:tblPrEx>
        <w:tc>
          <w:tcPr>
            <w:tcW w:w="851" w:type="dxa"/>
          </w:tcPr>
          <w:p w:rsidR="002F663C" w:rsidRPr="00711F9C" w:rsidP="00C14444" w14:paraId="10894F6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EB8851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7D6158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90CE4BB" w14:textId="77777777" w:rsidTr="00E9471B">
        <w:tblPrEx>
          <w:tblW w:w="9049" w:type="dxa"/>
          <w:tblLayout w:type="fixed"/>
          <w:tblLook w:val="04A0"/>
        </w:tblPrEx>
        <w:tc>
          <w:tcPr>
            <w:tcW w:w="851" w:type="dxa"/>
          </w:tcPr>
          <w:p w:rsidR="002F663C" w:rsidRPr="00711F9C" w:rsidP="00C14444" w14:paraId="1592CB2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B87FE5E"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B36314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A2096E5" w14:textId="77777777" w:rsidTr="00E9471B">
        <w:tblPrEx>
          <w:tblW w:w="9049" w:type="dxa"/>
          <w:tblLayout w:type="fixed"/>
          <w:tblLook w:val="04A0"/>
        </w:tblPrEx>
        <w:tc>
          <w:tcPr>
            <w:tcW w:w="851" w:type="dxa"/>
          </w:tcPr>
          <w:p w:rsidR="002F663C" w:rsidRPr="00711F9C" w:rsidP="00C14444" w14:paraId="1EAFAA7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42C14A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31662E9" w14:textId="77777777" w:rsidTr="00E9471B">
        <w:tblPrEx>
          <w:tblW w:w="9049" w:type="dxa"/>
          <w:tblLayout w:type="fixed"/>
          <w:tblLook w:val="04A0"/>
        </w:tblPrEx>
        <w:tc>
          <w:tcPr>
            <w:tcW w:w="851" w:type="dxa"/>
            <w:tcBorders>
              <w:bottom w:val="double" w:sz="4" w:space="0" w:color="auto"/>
            </w:tcBorders>
          </w:tcPr>
          <w:p w:rsidR="002F663C" w:rsidRPr="00711F9C" w:rsidP="00C14444" w14:paraId="0F49955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4F26B9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CDD636D" w14:textId="77777777">
      <w:pPr>
        <w:jc w:val="left"/>
        <w:rPr>
          <w:rFonts w:eastAsia="Calibri" w:cs="Times New Roman"/>
          <w:highlight w:val="yellow"/>
        </w:rPr>
      </w:pPr>
    </w:p>
    <w:p w:rsidR="003971FF" w:rsidRPr="007F6EA2" w:rsidP="00B16ACF" w14:paraId="543C442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aim of this addendum is to inform WTO Members of the publications of the </w:t>
      </w:r>
      <w:r w:rsidRPr="002F663C">
        <w:rPr>
          <w:rFonts w:eastAsia="Calibri" w:cs="Times New Roman"/>
          <w:i/>
          <w:iCs/>
          <w:szCs w:val="18"/>
        </w:rPr>
        <w:t xml:space="preserve">Prohibition of Certain Toxic Substances Regulations, 2025 </w:t>
      </w:r>
      <w:r w:rsidRPr="002F663C">
        <w:rPr>
          <w:rFonts w:eastAsia="Calibri" w:cs="Times New Roman"/>
          <w:szCs w:val="18"/>
        </w:rPr>
        <w:t xml:space="preserve">(the 2025 Regulations). </w:t>
      </w:r>
    </w:p>
    <w:p w:rsidR="00684465" w:rsidRPr="002F663C" w:rsidP="00B16ACF" w14:paraId="27109505" w14:textId="77777777">
      <w:pPr>
        <w:spacing w:before="120" w:after="120"/>
        <w:rPr>
          <w:rFonts w:eastAsia="Calibri" w:cs="Times New Roman"/>
          <w:szCs w:val="18"/>
        </w:rPr>
      </w:pPr>
      <w:r w:rsidRPr="002F663C">
        <w:rPr>
          <w:rFonts w:eastAsia="Calibri" w:cs="Times New Roman"/>
          <w:szCs w:val="18"/>
        </w:rPr>
        <w:t xml:space="preserve">As notified in G/TBT/N/CAN/673 (dated 18 May 2022), on 14 May 2022, the Government of Canada published the </w:t>
      </w:r>
      <w:hyperlink r:id="rId9" w:history="1">
        <w:r w:rsidRPr="002F663C">
          <w:rPr>
            <w:rFonts w:eastAsia="Calibri" w:cs="Times New Roman"/>
            <w:szCs w:val="18"/>
          </w:rPr>
          <w:t xml:space="preserve">proposed </w:t>
        </w:r>
        <w:r w:rsidRPr="002F663C">
          <w:rPr>
            <w:rFonts w:eastAsia="Calibri" w:cs="Times New Roman"/>
            <w:i/>
            <w:iCs/>
            <w:szCs w:val="18"/>
          </w:rPr>
          <w:t>Prohibition of Certain Toxic Substances Regulations, 2022</w:t>
        </w:r>
      </w:hyperlink>
      <w:r w:rsidRPr="002F663C">
        <w:rPr>
          <w:rFonts w:eastAsia="Calibri" w:cs="Times New Roman"/>
          <w:szCs w:val="18"/>
        </w:rPr>
        <w:t xml:space="preserve"> (the proposed Regulations) in the </w:t>
      </w:r>
      <w:r w:rsidRPr="002F663C">
        <w:rPr>
          <w:rFonts w:eastAsia="Calibri" w:cs="Times New Roman"/>
          <w:i/>
          <w:iCs/>
          <w:szCs w:val="18"/>
        </w:rPr>
        <w:t>Canada Gazette</w:t>
      </w:r>
      <w:r w:rsidRPr="002F663C">
        <w:rPr>
          <w:rFonts w:eastAsia="Calibri" w:cs="Times New Roman"/>
          <w:szCs w:val="18"/>
        </w:rPr>
        <w:t>, Part I, for a 75-day public comment period that ended on July 28, 2022. Feedback and comments received from stakeholders and other jurisdictions were taken into consideration in the development of the 2025 Regulations.</w:t>
      </w:r>
    </w:p>
    <w:p w:rsidR="00684465" w:rsidRPr="002F663C" w:rsidP="00B16ACF" w14:paraId="4231A168" w14:textId="77777777">
      <w:pPr>
        <w:spacing w:before="120" w:after="120"/>
        <w:rPr>
          <w:rFonts w:eastAsia="Calibri" w:cs="Times New Roman"/>
          <w:szCs w:val="18"/>
        </w:rPr>
      </w:pPr>
      <w:r w:rsidRPr="002F663C">
        <w:rPr>
          <w:rFonts w:eastAsia="Calibri" w:cs="Times New Roman"/>
          <w:szCs w:val="18"/>
        </w:rPr>
        <w:t>The 2025 Regulations aim to reduce the risk of toxic substances entering the Canadian environment contributing to the protection of Canada's environment and wildlife.</w:t>
      </w:r>
    </w:p>
    <w:p w:rsidR="00684465" w:rsidRPr="002F663C" w:rsidP="00B16ACF" w14:paraId="0509DC4A" w14:textId="77777777">
      <w:pPr>
        <w:spacing w:before="120" w:after="120"/>
        <w:rPr>
          <w:rFonts w:eastAsia="Calibri" w:cs="Times New Roman"/>
          <w:szCs w:val="18"/>
        </w:rPr>
      </w:pPr>
      <w:r w:rsidRPr="002F663C">
        <w:rPr>
          <w:rFonts w:eastAsia="Calibri" w:cs="Times New Roman"/>
          <w:szCs w:val="18"/>
        </w:rPr>
        <w:t xml:space="preserve">The 2025 Regulations repeal and replace the </w:t>
      </w:r>
      <w:r w:rsidRPr="002F663C">
        <w:rPr>
          <w:rFonts w:eastAsia="Calibri" w:cs="Times New Roman"/>
          <w:i/>
          <w:iCs/>
          <w:szCs w:val="18"/>
        </w:rPr>
        <w:t xml:space="preserve">Prohibition of Certain Toxic Substances Regulations, 2012 </w:t>
      </w:r>
      <w:r w:rsidRPr="002F663C">
        <w:rPr>
          <w:rFonts w:eastAsia="Calibri" w:cs="Times New Roman"/>
          <w:szCs w:val="18"/>
        </w:rPr>
        <w:t>(the 2012 Regulations) and introduce restrictions on the manufacture, use, sale and import of Dechlorane Plus (DP) and decabromodiphenyl ethane (DBDPE), and products containing these substances, with some time-limited exemptions (authorized activities).</w:t>
      </w:r>
    </w:p>
    <w:p w:rsidR="00684465" w:rsidRPr="002F663C" w:rsidP="00B16ACF" w14:paraId="6654BDA0" w14:textId="77777777">
      <w:pPr>
        <w:spacing w:before="120" w:after="120"/>
        <w:rPr>
          <w:rFonts w:eastAsia="Calibri" w:cs="Times New Roman"/>
          <w:szCs w:val="18"/>
        </w:rPr>
      </w:pPr>
      <w:r w:rsidRPr="002F663C">
        <w:rPr>
          <w:rFonts w:eastAsia="Calibri" w:cs="Times New Roman"/>
          <w:szCs w:val="18"/>
        </w:rPr>
        <w:t>The 2025 Regulations also further restrict the manufacture, use, sale and import of perfluorooctane sulfonate, its salts and precursors (PFOS), perfluorooctanoic acid, its salts and precursors (PFOA), long-chain perfluorocarboxylic acids, their salts and precursors (LC-PFCAs), hexabromocyclododecane (HBCD) and polybrominated diphenyl ethers (PBDEs), and products containing these substances, which were already prohibited, with some exemptions, under the 2012 Regulations.</w:t>
      </w:r>
    </w:p>
    <w:p w:rsidR="00684465" w:rsidRPr="002F663C" w:rsidP="00B16ACF" w14:paraId="5BFB8C8C" w14:textId="77777777">
      <w:pPr>
        <w:spacing w:before="120" w:after="120"/>
        <w:rPr>
          <w:rFonts w:eastAsia="Calibri" w:cs="Times New Roman"/>
          <w:szCs w:val="18"/>
        </w:rPr>
      </w:pPr>
      <w:r w:rsidRPr="002F663C">
        <w:rPr>
          <w:rFonts w:eastAsia="Calibri" w:cs="Times New Roman"/>
          <w:szCs w:val="18"/>
        </w:rPr>
        <w:t>The 2025 Regulations also simplify the current regulatory text by consolidating all substance-specific exemptions into one schedule and provide other minor administrative changes.</w:t>
      </w:r>
    </w:p>
    <w:p w:rsidR="00684465" w:rsidRPr="002F663C" w:rsidP="00B16ACF" w14:paraId="5C4BC680" w14:textId="77777777">
      <w:pPr>
        <w:spacing w:before="120" w:after="120"/>
        <w:rPr>
          <w:rFonts w:eastAsia="Calibri" w:cs="Times New Roman"/>
          <w:szCs w:val="18"/>
        </w:rPr>
      </w:pPr>
      <w:r w:rsidRPr="002F663C">
        <w:rPr>
          <w:rFonts w:eastAsia="Calibri" w:cs="Times New Roman"/>
          <w:szCs w:val="18"/>
        </w:rPr>
        <w:t>Specific exemptions are provided under the 2025 Regulations that take into account socio-economic factors, availability of suitable alternatives, consideration of the international context and risks to the environment. These time-limited exemptions provide time for industry to transition to alternatives, taking into consideration the life cycle of product development, as well as certification for safety and product performance standards.</w:t>
      </w:r>
    </w:p>
    <w:p w:rsidR="00684465" w:rsidRPr="002F663C" w:rsidP="00B16ACF" w14:paraId="620B0F10" w14:textId="77777777">
      <w:pPr>
        <w:spacing w:before="120" w:after="120"/>
        <w:rPr>
          <w:rFonts w:eastAsia="Calibri" w:cs="Times New Roman"/>
          <w:szCs w:val="18"/>
        </w:rPr>
      </w:pPr>
      <w:r w:rsidRPr="002F663C">
        <w:rPr>
          <w:rFonts w:eastAsia="Calibri" w:cs="Times New Roman"/>
          <w:szCs w:val="18"/>
        </w:rPr>
        <w:t>Where specific exemptions have not been provided, the 2025 Regulations allow for permits to be issued for one year and renewed twice (for a total maximum of up to three years) to temporarily allow the continued manufacture or import of DP or DBDPE, or products containing these substances, the import of certain products containing PFOA or LC-PFCAs, and the manufacture or import of certain products containing HBCD or decabromodiphenyl ether (decaBDE). Permit applications must be submitted within 30 days of th</w:t>
      </w:r>
      <w:r w:rsidRPr="002F663C">
        <w:rPr>
          <w:rFonts w:eastAsia="Calibri" w:cs="Times New Roman"/>
          <w:szCs w:val="18"/>
        </w:rPr>
        <w:t>e day on which the 2025 Regulations come into force.</w:t>
      </w:r>
    </w:p>
    <w:p w:rsidR="00684465" w:rsidRPr="002F663C" w:rsidP="00B16ACF" w14:paraId="5D4DCE99" w14:textId="77777777">
      <w:pPr>
        <w:spacing w:before="120" w:after="120"/>
        <w:rPr>
          <w:rFonts w:eastAsia="Calibri" w:cs="Times New Roman"/>
          <w:szCs w:val="18"/>
        </w:rPr>
      </w:pPr>
      <w:r w:rsidRPr="002F663C">
        <w:rPr>
          <w:rFonts w:eastAsia="Calibri" w:cs="Times New Roman"/>
          <w:szCs w:val="18"/>
        </w:rPr>
        <w:t xml:space="preserve">The 2025 Regulations will come into force 6 months after the day on which the Regulations are published in the </w:t>
      </w:r>
      <w:r w:rsidRPr="002F663C">
        <w:rPr>
          <w:rFonts w:eastAsia="Calibri" w:cs="Times New Roman"/>
          <w:i/>
          <w:iCs/>
          <w:szCs w:val="18"/>
        </w:rPr>
        <w:t xml:space="preserve">Canada Gazette, </w:t>
      </w:r>
      <w:r w:rsidRPr="002F663C">
        <w:rPr>
          <w:rFonts w:eastAsia="Calibri" w:cs="Times New Roman"/>
          <w:szCs w:val="18"/>
        </w:rPr>
        <w:t>Part II, namely on 30 June 2026.</w:t>
      </w:r>
    </w:p>
    <w:p w:rsidR="006C5A96" w:rsidP="006C5A96" w14:paraId="0CFBB21B" w14:textId="77777777">
      <w:pPr>
        <w:jc w:val="center"/>
        <w:rPr>
          <w:b/>
        </w:rPr>
      </w:pPr>
      <w:r w:rsidRPr="003971FF">
        <w:rPr>
          <w:b/>
        </w:rPr>
        <w:t>__________</w:t>
      </w:r>
    </w:p>
    <w:p w:rsidR="004D4D19" w:rsidP="007F38C2" w14:paraId="2EEC6637" w14:textId="77777777">
      <w:pPr>
        <w:jc w:val="center"/>
        <w:rPr>
          <w:b/>
        </w:rPr>
      </w:pPr>
    </w:p>
    <w:p w:rsidR="00A1565D" w:rsidP="003971FF" w14:paraId="3E1A0C7F" w14:textId="77777777">
      <w:pPr>
        <w:jc w:val="center"/>
        <w:rPr>
          <w:b/>
        </w:rPr>
      </w:pP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D3D29C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8D055E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EFE79B7" w14:textId="77777777">
      <w:r>
        <w:separator/>
      </w:r>
    </w:p>
  </w:footnote>
  <w:footnote w:type="continuationSeparator" w:id="1">
    <w:p w:rsidR="004D3A6A" w:rsidP="00ED54E0" w14:paraId="6BC8526C" w14:textId="77777777">
      <w:r>
        <w:continuationSeparator/>
      </w:r>
    </w:p>
  </w:footnote>
  <w:footnote w:id="2">
    <w:p w:rsidR="007F6EA2" w14:paraId="05ED3F3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9BD39E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1B6454CD" w14:textId="77777777">
    <w:pPr>
      <w:pStyle w:val="Header"/>
      <w:pBdr>
        <w:bottom w:val="single" w:sz="4" w:space="1" w:color="auto"/>
      </w:pBdr>
      <w:tabs>
        <w:tab w:val="clear" w:pos="4513"/>
        <w:tab w:val="clear" w:pos="9027"/>
      </w:tabs>
      <w:jc w:val="center"/>
    </w:pPr>
  </w:p>
  <w:p w:rsidR="00DD3DD7" w:rsidRPr="00DD3DD7" w:rsidP="00DD3DD7" w14:paraId="7316012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E38313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8E9D1FB" w14:textId="77777777">
    <w:pPr>
      <w:pStyle w:val="Header"/>
      <w:pBdr>
        <w:bottom w:val="single" w:sz="4" w:space="1" w:color="auto"/>
      </w:pBdr>
      <w:tabs>
        <w:tab w:val="clear" w:pos="4513"/>
        <w:tab w:val="clear" w:pos="9027"/>
      </w:tabs>
      <w:jc w:val="center"/>
    </w:pPr>
    <w:bookmarkStart w:id="3" w:name="spsSymbolHeader"/>
    <w:r w:rsidRPr="00DD3DD7">
      <w:t>G/TBT/N/CAN/673/Add.2</w:t>
    </w:r>
    <w:bookmarkEnd w:id="3"/>
  </w:p>
  <w:p w:rsidR="00DD3DD7" w:rsidRPr="00DD3DD7" w:rsidP="00DD3DD7" w14:paraId="1D2977F5" w14:textId="77777777">
    <w:pPr>
      <w:pStyle w:val="Header"/>
      <w:pBdr>
        <w:bottom w:val="single" w:sz="4" w:space="1" w:color="auto"/>
      </w:pBdr>
      <w:tabs>
        <w:tab w:val="clear" w:pos="4513"/>
        <w:tab w:val="clear" w:pos="9027"/>
      </w:tabs>
      <w:jc w:val="center"/>
    </w:pPr>
  </w:p>
  <w:p w:rsidR="00DD3DD7" w:rsidRPr="00DD3DD7" w:rsidP="00DD3DD7" w14:paraId="5AEBA97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DD08A8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CB8EE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217624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6229C1B" w14:textId="77777777">
          <w:pPr>
            <w:jc w:val="right"/>
            <w:rPr>
              <w:b/>
              <w:color w:val="FF0000"/>
              <w:szCs w:val="16"/>
            </w:rPr>
          </w:pPr>
          <w:r>
            <w:rPr>
              <w:b/>
              <w:color w:val="FF0000"/>
              <w:szCs w:val="16"/>
            </w:rPr>
            <w:t xml:space="preserve"> </w:t>
          </w:r>
        </w:p>
      </w:tc>
    </w:tr>
    <w:tr w14:paraId="242C28C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4351AC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450A08E" w14:textId="77777777">
          <w:pPr>
            <w:jc w:val="right"/>
            <w:rPr>
              <w:b/>
              <w:szCs w:val="16"/>
            </w:rPr>
          </w:pPr>
        </w:p>
      </w:tc>
    </w:tr>
    <w:tr w14:paraId="0E33CB4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D250ED1"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1B64E6E" w14:textId="77777777">
          <w:pPr>
            <w:jc w:val="right"/>
            <w:rPr>
              <w:rFonts w:eastAsia="Calibri" w:cs="Times New Roman"/>
              <w:b/>
              <w:szCs w:val="16"/>
            </w:rPr>
          </w:pPr>
          <w:bookmarkStart w:id="4" w:name="bmkSymbols"/>
          <w:r w:rsidRPr="002F663C">
            <w:rPr>
              <w:rFonts w:eastAsia="Calibri" w:cs="Times New Roman"/>
              <w:b/>
              <w:szCs w:val="16"/>
            </w:rPr>
            <w:t>G/TBT/N/CAN/673/Add.2</w:t>
          </w:r>
          <w:bookmarkEnd w:id="4"/>
        </w:p>
        <w:p w:rsidR="00C14444" w:rsidRPr="00C14444" w:rsidP="00C14444" w14:paraId="69EB9804" w14:textId="77777777">
          <w:pPr>
            <w:jc w:val="center"/>
            <w:rPr>
              <w:szCs w:val="16"/>
            </w:rPr>
          </w:pPr>
        </w:p>
      </w:tc>
    </w:tr>
    <w:tr w14:paraId="2E1CF2A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40A96B1" w14:textId="77777777"/>
      </w:tc>
      <w:tc>
        <w:tcPr>
          <w:tcW w:w="5448" w:type="dxa"/>
          <w:gridSpan w:val="2"/>
          <w:shd w:val="clear" w:color="auto" w:fill="FFFFFF"/>
          <w:tcMar>
            <w:left w:w="108" w:type="dxa"/>
            <w:right w:w="108" w:type="dxa"/>
          </w:tcMar>
          <w:vAlign w:val="center"/>
        </w:tcPr>
        <w:p w:rsidR="00ED54E0" w:rsidRPr="00182B84" w:rsidP="00425DC5" w14:paraId="55440913" w14:textId="77777777">
          <w:pPr>
            <w:jc w:val="right"/>
            <w:rPr>
              <w:szCs w:val="16"/>
            </w:rPr>
          </w:pPr>
          <w:bookmarkStart w:id="5" w:name="bmkDate"/>
          <w:r w:rsidRPr="00182B84">
            <w:rPr>
              <w:szCs w:val="16"/>
            </w:rPr>
            <w:t>7 January 2026</w:t>
          </w:r>
          <w:bookmarkEnd w:id="5"/>
        </w:p>
      </w:tc>
    </w:tr>
    <w:tr w14:paraId="179F348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7958E7E" w14:textId="77777777">
          <w:pPr>
            <w:jc w:val="left"/>
            <w:rPr>
              <w:b/>
            </w:rPr>
          </w:pPr>
          <w:bookmarkStart w:id="6" w:name="bmkSerial"/>
          <w:r>
            <w:rPr>
              <w:rFonts w:ascii="Verdana" w:eastAsia="Verdana" w:hAnsi="Verdana" w:cs="Verdana"/>
              <w:b w:val="0"/>
              <w:color w:val="FF0000"/>
              <w:sz w:val="18"/>
            </w:rPr>
            <w:t>(26-0140)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F88367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2248F4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1AECDB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A17124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 French</w:t>
          </w:r>
          <w:bookmarkEnd w:id="7"/>
        </w:p>
      </w:tc>
    </w:tr>
  </w:tbl>
  <w:p w:rsidR="00ED54E0" w:rsidP="00DD3DD7" w14:paraId="6F9A33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7205931">
    <w:abstractNumId w:val="9"/>
  </w:num>
  <w:num w:numId="2" w16cid:durableId="330454875">
    <w:abstractNumId w:val="7"/>
  </w:num>
  <w:num w:numId="3" w16cid:durableId="1274946406">
    <w:abstractNumId w:val="6"/>
  </w:num>
  <w:num w:numId="4" w16cid:durableId="1206681079">
    <w:abstractNumId w:val="5"/>
  </w:num>
  <w:num w:numId="5" w16cid:durableId="632908690">
    <w:abstractNumId w:val="4"/>
  </w:num>
  <w:num w:numId="6" w16cid:durableId="723412229">
    <w:abstractNumId w:val="12"/>
  </w:num>
  <w:num w:numId="7" w16cid:durableId="1795515099">
    <w:abstractNumId w:val="11"/>
  </w:num>
  <w:num w:numId="8" w16cid:durableId="730931562">
    <w:abstractNumId w:val="10"/>
  </w:num>
  <w:num w:numId="9" w16cid:durableId="1543247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6632218">
    <w:abstractNumId w:val="13"/>
  </w:num>
  <w:num w:numId="11" w16cid:durableId="952057310">
    <w:abstractNumId w:val="8"/>
  </w:num>
  <w:num w:numId="12" w16cid:durableId="1087731707">
    <w:abstractNumId w:val="3"/>
  </w:num>
  <w:num w:numId="13" w16cid:durableId="1523592167">
    <w:abstractNumId w:val="2"/>
  </w:num>
  <w:num w:numId="14" w16cid:durableId="1745444649">
    <w:abstractNumId w:val="1"/>
  </w:num>
  <w:num w:numId="15" w16cid:durableId="741609946">
    <w:abstractNumId w:val="0"/>
  </w:num>
  <w:num w:numId="16" w16cid:durableId="73493236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6749B"/>
    <w:rsid w:val="00175DD6"/>
    <w:rsid w:val="00182B84"/>
    <w:rsid w:val="001C2A9D"/>
    <w:rsid w:val="001E291F"/>
    <w:rsid w:val="001E2E4A"/>
    <w:rsid w:val="00223DA8"/>
    <w:rsid w:val="00233408"/>
    <w:rsid w:val="00262BD5"/>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4867"/>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84465"/>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D10C5"/>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2041D"/>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C613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gazette.gc.ca/rp-pr/p2/2025/2025-12-31/html/sor-dors270-eng.html" TargetMode="External" /><Relationship Id="rId8" Type="http://schemas.openxmlformats.org/officeDocument/2006/relationships/hyperlink" Target="https://gazette.gc.ca/rp-pr/p2/2025/2025-12-31/html/sor-dors270-fra.html" TargetMode="External" /><Relationship Id="rId9" Type="http://schemas.openxmlformats.org/officeDocument/2006/relationships/hyperlink" Target="https://www.gazette.gc.ca/rp-pr/p1/2022/2022-05-14/html/reg2-eng.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276A9-8FDA-418B-B63F-A832C0463DA7}">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2026-01-07T10:56:00Z</dcterms:created>
  <dcterms:modified xsi:type="dcterms:W3CDTF">2026-01-07T11:01:00Z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