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5EDFB0E" w14:textId="77777777">
      <w:pPr>
        <w:pStyle w:val="Title"/>
      </w:pPr>
      <w:r w:rsidRPr="002F663C">
        <w:t>NOTIFICATION</w:t>
      </w:r>
    </w:p>
    <w:p w:rsidR="002F663C" w:rsidRPr="002F663C" w:rsidP="00DD3DD7" w14:paraId="05C505C1" w14:textId="77777777">
      <w:pPr>
        <w:pStyle w:val="Title3"/>
      </w:pPr>
      <w:r w:rsidRPr="002F663C">
        <w:t>Addendum</w:t>
      </w:r>
    </w:p>
    <w:p w:rsidR="002F663C" w:rsidP="001E2E4A" w14:paraId="727A836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610FA211" w14:textId="77777777">
      <w:pPr>
        <w:rPr>
          <w:rFonts w:eastAsia="Calibri" w:cs="Times New Roman"/>
        </w:rPr>
      </w:pPr>
    </w:p>
    <w:p w:rsidR="002F663C" w:rsidRPr="002F663C" w:rsidP="002F663C" w14:paraId="2FC94111" w14:textId="77777777">
      <w:pPr>
        <w:jc w:val="center"/>
        <w:rPr>
          <w:rFonts w:eastAsia="Calibri" w:cs="Times New Roman"/>
          <w:b/>
        </w:rPr>
      </w:pPr>
      <w:r w:rsidRPr="002F663C">
        <w:rPr>
          <w:rFonts w:eastAsia="Calibri" w:cs="Times New Roman"/>
          <w:b/>
        </w:rPr>
        <w:t>_______________</w:t>
      </w:r>
    </w:p>
    <w:p w:rsidR="002F663C" w:rsidP="002F663C" w14:paraId="56D1E950" w14:textId="77777777">
      <w:pPr>
        <w:rPr>
          <w:rFonts w:eastAsia="Calibri" w:cs="Times New Roman"/>
        </w:rPr>
      </w:pPr>
    </w:p>
    <w:p w:rsidR="00C14444" w:rsidRPr="002F663C" w:rsidP="002F663C" w14:paraId="4DF08E7C" w14:textId="77777777">
      <w:pPr>
        <w:rPr>
          <w:rFonts w:eastAsia="Calibri" w:cs="Times New Roman"/>
        </w:rPr>
      </w:pPr>
    </w:p>
    <w:p w:rsidR="002F663C" w:rsidRPr="002F663C" w:rsidP="002F663C" w14:paraId="2096FE8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Public Health Protection (Food) Notice (Application of Changes to the Annex to the European Union Directives) (Commission Regulation (EU) No 10/2011 of 14 January 2011 on plastic materials and articles intended to come into contact with food), 5785 – 2025</w:t>
      </w:r>
    </w:p>
    <w:p w:rsidR="002F663C" w:rsidRPr="002F663C" w:rsidP="002F663C" w14:paraId="5BAEF52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7B40AC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1FED16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E962549" w14:textId="77777777" w:rsidTr="00E9471B">
        <w:tblPrEx>
          <w:tblW w:w="9049" w:type="dxa"/>
          <w:tblLayout w:type="fixed"/>
          <w:tblLook w:val="04A0"/>
        </w:tblPrEx>
        <w:tc>
          <w:tcPr>
            <w:tcW w:w="851" w:type="dxa"/>
          </w:tcPr>
          <w:p w:rsidR="002F663C" w:rsidRPr="00711F9C" w:rsidP="00C14444" w14:paraId="210F1EA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C17F81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5C89B1B" w14:textId="77777777" w:rsidTr="00E9471B">
        <w:tblPrEx>
          <w:tblW w:w="9049" w:type="dxa"/>
          <w:tblLayout w:type="fixed"/>
          <w:tblLook w:val="04A0"/>
        </w:tblPrEx>
        <w:tc>
          <w:tcPr>
            <w:tcW w:w="851" w:type="dxa"/>
          </w:tcPr>
          <w:p w:rsidR="002F663C" w:rsidRPr="00711F9C" w:rsidP="00C14444" w14:paraId="0121369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237125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050DC38" w14:textId="77777777" w:rsidTr="00E9471B">
        <w:tblPrEx>
          <w:tblW w:w="9049" w:type="dxa"/>
          <w:tblLayout w:type="fixed"/>
          <w:tblLook w:val="04A0"/>
        </w:tblPrEx>
        <w:tc>
          <w:tcPr>
            <w:tcW w:w="851" w:type="dxa"/>
          </w:tcPr>
          <w:p w:rsidR="002F663C" w:rsidRPr="00711F9C" w:rsidP="00C14444" w14:paraId="3BF3430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E5F7D2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December 2025</w:t>
            </w:r>
          </w:p>
        </w:tc>
      </w:tr>
      <w:tr w14:paraId="21FA329D" w14:textId="77777777" w:rsidTr="00E9471B">
        <w:tblPrEx>
          <w:tblW w:w="9049" w:type="dxa"/>
          <w:tblLayout w:type="fixed"/>
          <w:tblLook w:val="04A0"/>
        </w:tblPrEx>
        <w:tc>
          <w:tcPr>
            <w:tcW w:w="851" w:type="dxa"/>
          </w:tcPr>
          <w:p w:rsidR="002F663C" w:rsidRPr="00711F9C" w:rsidP="00C14444" w14:paraId="291D19D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C757AF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30 June 2028</w:t>
            </w:r>
          </w:p>
        </w:tc>
      </w:tr>
      <w:tr w14:paraId="70B1B529" w14:textId="77777777" w:rsidTr="00E9471B">
        <w:tblPrEx>
          <w:tblW w:w="9049" w:type="dxa"/>
          <w:tblLayout w:type="fixed"/>
          <w:tblLook w:val="04A0"/>
        </w:tblPrEx>
        <w:tc>
          <w:tcPr>
            <w:tcW w:w="851" w:type="dxa"/>
          </w:tcPr>
          <w:p w:rsidR="002F663C" w:rsidRPr="00711F9C" w:rsidP="00C14444" w14:paraId="16747A5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D8541A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C338CE9"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https://members.wto.org/crnattachments/2025/TBT/ISR/final_measure/25_09217_00_x.pdf</w:t>
              </w:r>
            </w:hyperlink>
          </w:p>
        </w:tc>
      </w:tr>
      <w:tr w14:paraId="08621D6F" w14:textId="77777777" w:rsidTr="00E9471B">
        <w:tblPrEx>
          <w:tblW w:w="9049" w:type="dxa"/>
          <w:tblLayout w:type="fixed"/>
          <w:tblLook w:val="04A0"/>
        </w:tblPrEx>
        <w:tc>
          <w:tcPr>
            <w:tcW w:w="851" w:type="dxa"/>
          </w:tcPr>
          <w:p w:rsidR="002F663C" w:rsidRPr="00711F9C" w:rsidP="00C14444" w14:paraId="6C7FE30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135443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38675C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AE5151F" w14:textId="77777777" w:rsidTr="00E9471B">
        <w:tblPrEx>
          <w:tblW w:w="9049" w:type="dxa"/>
          <w:tblLayout w:type="fixed"/>
          <w:tblLook w:val="04A0"/>
        </w:tblPrEx>
        <w:tc>
          <w:tcPr>
            <w:tcW w:w="851" w:type="dxa"/>
          </w:tcPr>
          <w:p w:rsidR="002F663C" w:rsidRPr="00711F9C" w:rsidP="00C14444" w14:paraId="370FCF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4A44A0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DB81AB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8FD8B93" w14:textId="77777777" w:rsidTr="00E9471B">
        <w:tblPrEx>
          <w:tblW w:w="9049" w:type="dxa"/>
          <w:tblLayout w:type="fixed"/>
          <w:tblLook w:val="04A0"/>
        </w:tblPrEx>
        <w:tc>
          <w:tcPr>
            <w:tcW w:w="851" w:type="dxa"/>
          </w:tcPr>
          <w:p w:rsidR="002F663C" w:rsidRPr="00711F9C" w:rsidP="00C14444" w14:paraId="41684D2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963E96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613D7D9" w14:textId="77777777" w:rsidTr="00E9471B">
        <w:tblPrEx>
          <w:tblW w:w="9049" w:type="dxa"/>
          <w:tblLayout w:type="fixed"/>
          <w:tblLook w:val="04A0"/>
        </w:tblPrEx>
        <w:tc>
          <w:tcPr>
            <w:tcW w:w="851" w:type="dxa"/>
            <w:tcBorders>
              <w:bottom w:val="double" w:sz="4" w:space="0" w:color="auto"/>
            </w:tcBorders>
          </w:tcPr>
          <w:p w:rsidR="002F663C" w:rsidRPr="00711F9C" w:rsidP="00C14444" w14:paraId="61E075F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B1A96B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24C67B1" w14:textId="77777777">
      <w:pPr>
        <w:jc w:val="left"/>
        <w:rPr>
          <w:rFonts w:eastAsia="Calibri" w:cs="Times New Roman"/>
          <w:highlight w:val="yellow"/>
        </w:rPr>
      </w:pPr>
    </w:p>
    <w:p w:rsidR="003971FF" w:rsidRPr="007F6EA2" w:rsidP="00B16ACF" w14:paraId="4832AC3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amendment to the Public Health Protection (Food) Notice (Application of Changes to the Annex to the European Union Directives) (Commission Regulation (EU) No 10/2011 of 14 January 2011 on plastic materials and articles intended to come into contact with food), which deals with plastic materials and articles intended to come into contact with food. </w:t>
      </w:r>
    </w:p>
    <w:p w:rsidR="00DF1F6C" w:rsidRPr="002F663C" w:rsidP="00B16ACF" w14:paraId="5B04CB2A" w14:textId="77777777">
      <w:pPr>
        <w:spacing w:before="120" w:after="120"/>
        <w:rPr>
          <w:rFonts w:eastAsia="Calibri" w:cs="Times New Roman"/>
          <w:szCs w:val="18"/>
        </w:rPr>
      </w:pPr>
      <w:r w:rsidRPr="002F663C">
        <w:rPr>
          <w:rFonts w:eastAsia="Calibri" w:cs="Times New Roman"/>
          <w:szCs w:val="18"/>
        </w:rPr>
        <w:t>The amendment was published in Israel's Official Gazette, section of Government Notice no 12126 on 16 December 2025.</w:t>
      </w:r>
    </w:p>
    <w:p w:rsidR="00DF1F6C" w:rsidRPr="002F663C" w:rsidP="00B16ACF" w14:paraId="61F2E24C" w14:textId="77777777">
      <w:pPr>
        <w:spacing w:before="120" w:after="120"/>
        <w:rPr>
          <w:rFonts w:eastAsia="Calibri" w:cs="Times New Roman"/>
          <w:szCs w:val="18"/>
        </w:rPr>
      </w:pPr>
      <w:r w:rsidRPr="002F663C">
        <w:rPr>
          <w:rFonts w:eastAsia="Calibri" w:cs="Times New Roman"/>
          <w:szCs w:val="18"/>
        </w:rPr>
        <w:t>It adopts and amends several changes to the Commission Regulation (EU) No 10/2011, in accordance with changes implemented in Europe.</w:t>
      </w:r>
    </w:p>
    <w:p w:rsidR="006C5A96" w:rsidP="006C5A96" w14:paraId="3DE067DC" w14:textId="77777777">
      <w:pPr>
        <w:jc w:val="center"/>
        <w:rPr>
          <w:b/>
        </w:rPr>
      </w:pPr>
      <w:r w:rsidRPr="003971FF">
        <w:rPr>
          <w:b/>
        </w:rPr>
        <w:t>__________</w:t>
      </w:r>
    </w:p>
    <w:p w:rsidR="00A1565D" w:rsidP="00872873" w14:paraId="5F92B338" w14:textId="77777777">
      <w:pP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638715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C55AD8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8EA9AFA" w14:textId="77777777">
      <w:r>
        <w:separator/>
      </w:r>
    </w:p>
  </w:footnote>
  <w:footnote w:type="continuationSeparator" w:id="1">
    <w:p w:rsidR="004D3A6A" w:rsidP="00ED54E0" w14:paraId="033CDC15" w14:textId="77777777">
      <w:r>
        <w:continuationSeparator/>
      </w:r>
    </w:p>
  </w:footnote>
  <w:footnote w:id="2">
    <w:p w:rsidR="007F6EA2" w14:paraId="02D1C91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8E9749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F29A688" w14:textId="77777777">
    <w:pPr>
      <w:pStyle w:val="Header"/>
      <w:pBdr>
        <w:bottom w:val="single" w:sz="4" w:space="1" w:color="auto"/>
      </w:pBdr>
      <w:tabs>
        <w:tab w:val="clear" w:pos="4513"/>
        <w:tab w:val="clear" w:pos="9027"/>
      </w:tabs>
      <w:jc w:val="center"/>
    </w:pPr>
  </w:p>
  <w:p w:rsidR="00DD3DD7" w:rsidRPr="00DD3DD7" w:rsidP="00DD3DD7" w14:paraId="2BE690A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7489AE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2E3F9B1" w14:textId="77777777">
    <w:pPr>
      <w:pStyle w:val="Header"/>
      <w:pBdr>
        <w:bottom w:val="single" w:sz="4" w:space="1" w:color="auto"/>
      </w:pBdr>
      <w:tabs>
        <w:tab w:val="clear" w:pos="4513"/>
        <w:tab w:val="clear" w:pos="9027"/>
      </w:tabs>
      <w:jc w:val="center"/>
    </w:pPr>
    <w:bookmarkStart w:id="3" w:name="spsSymbolHeader"/>
    <w:r w:rsidRPr="00DD3DD7">
      <w:t>G/TBT/N/ISR/1407/Add.1</w:t>
    </w:r>
    <w:bookmarkEnd w:id="3"/>
  </w:p>
  <w:p w:rsidR="00DD3DD7" w:rsidRPr="00DD3DD7" w:rsidP="00DD3DD7" w14:paraId="7EEE9E10" w14:textId="77777777">
    <w:pPr>
      <w:pStyle w:val="Header"/>
      <w:pBdr>
        <w:bottom w:val="single" w:sz="4" w:space="1" w:color="auto"/>
      </w:pBdr>
      <w:tabs>
        <w:tab w:val="clear" w:pos="4513"/>
        <w:tab w:val="clear" w:pos="9027"/>
      </w:tabs>
      <w:jc w:val="center"/>
    </w:pPr>
  </w:p>
  <w:p w:rsidR="00DD3DD7" w:rsidRPr="00DD3DD7" w:rsidP="00DD3DD7" w14:paraId="2332D6C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0678B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44EB0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2C3DA1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E921539" w14:textId="77777777">
          <w:pPr>
            <w:jc w:val="right"/>
            <w:rPr>
              <w:b/>
              <w:color w:val="FF0000"/>
              <w:szCs w:val="16"/>
            </w:rPr>
          </w:pPr>
          <w:r>
            <w:rPr>
              <w:b/>
              <w:color w:val="FF0000"/>
              <w:szCs w:val="16"/>
            </w:rPr>
            <w:t xml:space="preserve"> </w:t>
          </w:r>
        </w:p>
      </w:tc>
    </w:tr>
    <w:tr w14:paraId="3FB8CF8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FF90B5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033D680" w14:textId="77777777">
          <w:pPr>
            <w:jc w:val="right"/>
            <w:rPr>
              <w:b/>
              <w:szCs w:val="16"/>
            </w:rPr>
          </w:pPr>
        </w:p>
      </w:tc>
    </w:tr>
    <w:tr w14:paraId="4BA2B73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FFF595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21462BB" w14:textId="77777777">
          <w:pPr>
            <w:jc w:val="right"/>
            <w:rPr>
              <w:rFonts w:eastAsia="Calibri" w:cs="Times New Roman"/>
              <w:b/>
              <w:szCs w:val="16"/>
            </w:rPr>
          </w:pPr>
          <w:bookmarkStart w:id="4" w:name="bmkSymbols"/>
          <w:r w:rsidRPr="002F663C">
            <w:rPr>
              <w:rFonts w:eastAsia="Calibri" w:cs="Times New Roman"/>
              <w:b/>
              <w:szCs w:val="16"/>
            </w:rPr>
            <w:t>G/TBT/N/ISR/1407/Add.1</w:t>
          </w:r>
          <w:bookmarkEnd w:id="4"/>
        </w:p>
        <w:p w:rsidR="00C14444" w:rsidRPr="00C14444" w:rsidP="00C14444" w14:paraId="131C9C3E" w14:textId="77777777">
          <w:pPr>
            <w:jc w:val="center"/>
            <w:rPr>
              <w:szCs w:val="16"/>
            </w:rPr>
          </w:pPr>
        </w:p>
      </w:tc>
    </w:tr>
    <w:tr w14:paraId="47A1B14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C5A7CE9" w14:textId="77777777"/>
      </w:tc>
      <w:tc>
        <w:tcPr>
          <w:tcW w:w="5448" w:type="dxa"/>
          <w:gridSpan w:val="2"/>
          <w:shd w:val="clear" w:color="auto" w:fill="FFFFFF"/>
          <w:tcMar>
            <w:left w:w="108" w:type="dxa"/>
            <w:right w:w="108" w:type="dxa"/>
          </w:tcMar>
          <w:vAlign w:val="center"/>
        </w:tcPr>
        <w:p w:rsidR="00ED54E0" w:rsidRPr="00182B84" w:rsidP="00425DC5" w14:paraId="7676D3A1" w14:textId="77777777">
          <w:pPr>
            <w:jc w:val="right"/>
            <w:rPr>
              <w:szCs w:val="16"/>
            </w:rPr>
          </w:pPr>
          <w:bookmarkStart w:id="5" w:name="bmkDate"/>
          <w:r w:rsidRPr="00182B84">
            <w:rPr>
              <w:szCs w:val="16"/>
            </w:rPr>
            <w:t>5 January 2026</w:t>
          </w:r>
          <w:bookmarkEnd w:id="5"/>
        </w:p>
      </w:tc>
    </w:tr>
    <w:tr w14:paraId="2919BD6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11B29A5" w14:textId="77777777">
          <w:pPr>
            <w:jc w:val="left"/>
            <w:rPr>
              <w:b/>
            </w:rPr>
          </w:pPr>
          <w:bookmarkStart w:id="6" w:name="bmkSerial"/>
          <w:r>
            <w:rPr>
              <w:rFonts w:ascii="Verdana" w:eastAsia="Verdana" w:hAnsi="Verdana" w:cs="Verdana"/>
              <w:b w:val="0"/>
              <w:color w:val="FF0000"/>
              <w:sz w:val="18"/>
            </w:rPr>
            <w:t>(26-0011)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A19568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697EA5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B8501D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8A5AAD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D0635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106679">
    <w:abstractNumId w:val="9"/>
  </w:num>
  <w:num w:numId="2" w16cid:durableId="1984431380">
    <w:abstractNumId w:val="7"/>
  </w:num>
  <w:num w:numId="3" w16cid:durableId="494418520">
    <w:abstractNumId w:val="6"/>
  </w:num>
  <w:num w:numId="4" w16cid:durableId="1659918180">
    <w:abstractNumId w:val="5"/>
  </w:num>
  <w:num w:numId="5" w16cid:durableId="205679725">
    <w:abstractNumId w:val="4"/>
  </w:num>
  <w:num w:numId="6" w16cid:durableId="1351176930">
    <w:abstractNumId w:val="12"/>
  </w:num>
  <w:num w:numId="7" w16cid:durableId="1424186898">
    <w:abstractNumId w:val="11"/>
  </w:num>
  <w:num w:numId="8" w16cid:durableId="330371714">
    <w:abstractNumId w:val="10"/>
  </w:num>
  <w:num w:numId="9" w16cid:durableId="1971355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9165709">
    <w:abstractNumId w:val="13"/>
  </w:num>
  <w:num w:numId="11" w16cid:durableId="478620028">
    <w:abstractNumId w:val="8"/>
  </w:num>
  <w:num w:numId="12" w16cid:durableId="1665358066">
    <w:abstractNumId w:val="3"/>
  </w:num>
  <w:num w:numId="13" w16cid:durableId="1338995399">
    <w:abstractNumId w:val="2"/>
  </w:num>
  <w:num w:numId="14" w16cid:durableId="667751596">
    <w:abstractNumId w:val="1"/>
  </w:num>
  <w:num w:numId="15" w16cid:durableId="397367619">
    <w:abstractNumId w:val="0"/>
  </w:num>
  <w:num w:numId="16" w16cid:durableId="119630694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1D97"/>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40E2"/>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2873"/>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1F6C"/>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A6601A0"/>
  <w15:docId w15:val="{D1C7939A-4C31-4DE9-99DA-25021958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ISR/final_measure/25_0921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18737E3-9F6D-44B9-8E4E-19D9C041405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3</cp:revision>
  <cp:lastPrinted>2019-10-23T07:32:00Z</cp:lastPrinted>
  <dcterms:created xsi:type="dcterms:W3CDTF">2026-01-05T08:59:00Z</dcterms:created>
  <dcterms:modified xsi:type="dcterms:W3CDTF">2026-01-05T08:59:00Z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