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D6FE31" w14:textId="77777777">
      <w:pPr>
        <w:pStyle w:val="Title"/>
        <w:rPr>
          <w:caps w:val="0"/>
          <w:kern w:val="0"/>
        </w:rPr>
      </w:pPr>
      <w:r w:rsidRPr="002F6A28">
        <w:rPr>
          <w:caps w:val="0"/>
          <w:kern w:val="0"/>
        </w:rPr>
        <w:t>NOTIFICATION</w:t>
      </w:r>
    </w:p>
    <w:p w:rsidR="009239F7" w:rsidRPr="002F6A28" w:rsidP="002F6A28" w14:paraId="28E26E80" w14:textId="77777777">
      <w:pPr>
        <w:jc w:val="center"/>
      </w:pPr>
      <w:r w:rsidRPr="002F6A28">
        <w:t>The following notification is being circulated in accordance with Article 10.6</w:t>
      </w:r>
    </w:p>
    <w:p w:rsidR="009239F7" w:rsidRPr="002F6A28" w:rsidP="002F6A28" w14:paraId="11B5F00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B9D453E" w14:textId="77777777" w:rsidTr="00DB13FE">
        <w:tblPrEx>
          <w:tblW w:w="5000" w:type="pct"/>
          <w:tblLayout w:type="fixed"/>
          <w:tblLook w:val="0000"/>
        </w:tblPrEx>
        <w:tc>
          <w:tcPr>
            <w:tcW w:w="607" w:type="dxa"/>
            <w:tcBorders>
              <w:top w:val="double" w:sz="4" w:space="0" w:color="auto"/>
            </w:tcBorders>
          </w:tcPr>
          <w:p w:rsidR="00F85C99" w:rsidRPr="002F6A28" w:rsidP="002F6A28" w14:paraId="0BC619F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9DF7911"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1D34549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64F17A5" w14:textId="77777777" w:rsidTr="00DB13FE">
        <w:tblPrEx>
          <w:tblW w:w="5000" w:type="pct"/>
          <w:tblLayout w:type="fixed"/>
          <w:tblLook w:val="0000"/>
        </w:tblPrEx>
        <w:tc>
          <w:tcPr>
            <w:tcW w:w="607" w:type="dxa"/>
          </w:tcPr>
          <w:p w:rsidR="00F85C99" w:rsidRPr="002F6A28" w:rsidP="002F6A28" w14:paraId="5B76646B" w14:textId="77777777">
            <w:pPr>
              <w:spacing w:before="120" w:after="120"/>
              <w:jc w:val="left"/>
            </w:pPr>
            <w:r w:rsidRPr="002F6A28">
              <w:rPr>
                <w:b/>
              </w:rPr>
              <w:t>2.</w:t>
            </w:r>
          </w:p>
        </w:tc>
        <w:tc>
          <w:tcPr>
            <w:tcW w:w="8373" w:type="dxa"/>
          </w:tcPr>
          <w:p w:rsidR="00F85C99" w:rsidRPr="002F6A28" w:rsidP="000C3B6C" w14:paraId="67F73150" w14:textId="77777777">
            <w:pPr>
              <w:spacing w:before="120" w:after="120"/>
            </w:pPr>
            <w:r w:rsidRPr="002F6A28">
              <w:rPr>
                <w:b/>
              </w:rPr>
              <w:t>Agency responsible:</w:t>
            </w:r>
            <w:r w:rsidRPr="00C379C8" w:rsidR="00EE3A11">
              <w:t xml:space="preserve"> </w:t>
            </w:r>
          </w:p>
          <w:p w:rsidR="00EE3A11" w:rsidRPr="00C379C8" w:rsidP="000C3B6C" w14:paraId="112BBF1B" w14:textId="77777777">
            <w:pPr>
              <w:spacing w:after="120"/>
            </w:pPr>
            <w:r w:rsidRPr="00C379C8">
              <w:t>Department of Health (Health Canada)</w:t>
            </w:r>
          </w:p>
        </w:tc>
      </w:tr>
      <w:tr w14:paraId="3258723C" w14:textId="77777777" w:rsidTr="00DB13FE">
        <w:tblPrEx>
          <w:tblW w:w="5000" w:type="pct"/>
          <w:tblLayout w:type="fixed"/>
          <w:tblLook w:val="0000"/>
        </w:tblPrEx>
        <w:tc>
          <w:tcPr>
            <w:tcW w:w="607" w:type="dxa"/>
          </w:tcPr>
          <w:p w:rsidR="00F85C99" w:rsidRPr="002F6A28" w:rsidP="002F6A28" w14:paraId="334AEE8F" w14:textId="77777777">
            <w:pPr>
              <w:spacing w:before="120" w:after="120"/>
              <w:jc w:val="left"/>
              <w:rPr>
                <w:b/>
              </w:rPr>
            </w:pPr>
            <w:r w:rsidRPr="002F6A28">
              <w:rPr>
                <w:b/>
              </w:rPr>
              <w:t>3.</w:t>
            </w:r>
          </w:p>
        </w:tc>
        <w:tc>
          <w:tcPr>
            <w:tcW w:w="8373" w:type="dxa"/>
          </w:tcPr>
          <w:p w:rsidR="00F85C99" w:rsidRPr="0058336F" w:rsidP="002F6A28" w14:paraId="5CAEA0B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BD31B72" w14:textId="77777777" w:rsidTr="00DB13FE">
        <w:tblPrEx>
          <w:tblW w:w="5000" w:type="pct"/>
          <w:tblLayout w:type="fixed"/>
          <w:tblLook w:val="0000"/>
        </w:tblPrEx>
        <w:tc>
          <w:tcPr>
            <w:tcW w:w="607" w:type="dxa"/>
          </w:tcPr>
          <w:p w:rsidR="00F85C99" w:rsidRPr="002F6A28" w:rsidP="002F6A28" w14:paraId="062334E7" w14:textId="77777777">
            <w:pPr>
              <w:spacing w:before="120" w:after="120"/>
              <w:jc w:val="left"/>
            </w:pPr>
            <w:r w:rsidRPr="002F6A28">
              <w:rPr>
                <w:b/>
              </w:rPr>
              <w:t>4.</w:t>
            </w:r>
          </w:p>
        </w:tc>
        <w:tc>
          <w:tcPr>
            <w:tcW w:w="8373" w:type="dxa"/>
          </w:tcPr>
          <w:p w:rsidR="00F85C99" w:rsidRPr="002F6A28" w:rsidP="002F6A28" w14:paraId="0FB131E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Drugs (ICS code: 11.120)</w:t>
            </w:r>
          </w:p>
        </w:tc>
      </w:tr>
      <w:tr w14:paraId="502D07D9" w14:textId="77777777" w:rsidTr="00DB13FE">
        <w:tblPrEx>
          <w:tblW w:w="5000" w:type="pct"/>
          <w:tblLayout w:type="fixed"/>
          <w:tblLook w:val="0000"/>
        </w:tblPrEx>
        <w:tc>
          <w:tcPr>
            <w:tcW w:w="607" w:type="dxa"/>
          </w:tcPr>
          <w:p w:rsidR="00F85C99" w:rsidRPr="002F6A28" w:rsidP="002F6A28" w14:paraId="0CD09951" w14:textId="77777777">
            <w:pPr>
              <w:spacing w:before="120" w:after="120"/>
              <w:jc w:val="left"/>
            </w:pPr>
            <w:r w:rsidRPr="002F6A28">
              <w:rPr>
                <w:b/>
              </w:rPr>
              <w:t>5.</w:t>
            </w:r>
          </w:p>
        </w:tc>
        <w:tc>
          <w:tcPr>
            <w:tcW w:w="8373" w:type="dxa"/>
          </w:tcPr>
          <w:p w:rsidR="00F85C99" w:rsidP="002F6A28" w14:paraId="3996750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r w:rsidRPr="00C379C8" w:rsidR="00EE3A11">
              <w:rPr>
                <w:i/>
                <w:iCs/>
              </w:rPr>
              <w:t>Order Providing for Reliance on Decisions of, or Documents Produced by, Foreign Regulatory Authorities in Respect of Certain Drugs</w:t>
            </w:r>
            <w:r w:rsidRPr="00C379C8" w:rsidR="00EE3A11">
              <w:t>; (57 page(s), in English), (57 page(s), in French)</w:t>
            </w:r>
          </w:p>
          <w:p w:rsidR="000C3B6C" w:rsidRPr="000C3B6C" w:rsidP="002F6A28" w14:paraId="5C14FED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4B6D" w:rsidRPr="00CE6C29" w:rsidP="002F6A28" w14:paraId="2C8046E8" w14:textId="77777777">
            <w:pPr>
              <w:spacing w:after="120"/>
              <w:rPr>
                <w:iCs/>
              </w:rPr>
            </w:pPr>
            <w:hyperlink r:id="rId6" w:tgtFrame="_blank" w:history="1">
              <w:r w:rsidRPr="00CE6C29">
                <w:rPr>
                  <w:iCs/>
                  <w:color w:val="0000FF"/>
                  <w:u w:val="single"/>
                </w:rPr>
                <w:t>https://gazette.gc.ca/rp-pr/p1/2025/2025-12-20/html/reg4-eng.html</w:t>
              </w:r>
            </w:hyperlink>
          </w:p>
        </w:tc>
      </w:tr>
      <w:tr w14:paraId="24623C55" w14:textId="77777777" w:rsidTr="00DB13FE">
        <w:tblPrEx>
          <w:tblW w:w="5000" w:type="pct"/>
          <w:tblLayout w:type="fixed"/>
          <w:tblLook w:val="0000"/>
        </w:tblPrEx>
        <w:tc>
          <w:tcPr>
            <w:tcW w:w="607" w:type="dxa"/>
          </w:tcPr>
          <w:p w:rsidR="00F85C99" w:rsidRPr="002F6A28" w:rsidP="002F6A28" w14:paraId="6A92FA4E" w14:textId="77777777">
            <w:pPr>
              <w:spacing w:before="120" w:after="120"/>
              <w:jc w:val="left"/>
              <w:rPr>
                <w:b/>
              </w:rPr>
            </w:pPr>
            <w:r w:rsidRPr="002F6A28">
              <w:rPr>
                <w:b/>
              </w:rPr>
              <w:t>6.</w:t>
            </w:r>
          </w:p>
        </w:tc>
        <w:tc>
          <w:tcPr>
            <w:tcW w:w="8373" w:type="dxa"/>
          </w:tcPr>
          <w:p w:rsidR="00F85C99" w:rsidRPr="002F6A28" w:rsidP="002F6A28" w14:paraId="23996073" w14:textId="77777777">
            <w:pPr>
              <w:spacing w:before="120" w:after="120"/>
              <w:rPr>
                <w:b/>
              </w:rPr>
            </w:pPr>
            <w:r w:rsidRPr="002F6A28">
              <w:rPr>
                <w:b/>
              </w:rPr>
              <w:t>Description of content:</w:t>
            </w:r>
            <w:r w:rsidRPr="00C379C8" w:rsidR="00FE448B">
              <w:t xml:space="preserve"> The Government of Canada intends to make the </w:t>
            </w:r>
            <w:r w:rsidRPr="00C379C8" w:rsidR="00FE448B">
              <w:rPr>
                <w:i/>
                <w:iCs/>
              </w:rPr>
              <w:t>Order Providing for Reliance on Decisions of, or Documents Produced by, Foreign Regulatory Authorities in Respect of Certain Drugs</w:t>
            </w:r>
            <w:r w:rsidRPr="00C379C8" w:rsidR="00FE448B">
              <w:t xml:space="preserve"> (the Order). This Order would deem the requirement for the Minister to examine specified information and material in a new drug submission to have been met based on decisions or documents produced by certain foreign regulatory authorities (</w:t>
            </w:r>
            <w:r w:rsidRPr="00C379C8" w:rsidR="00FE448B">
              <w:t>FRAs</w:t>
            </w:r>
            <w:r w:rsidRPr="00C379C8" w:rsidR="00FE448B">
              <w:t>). To ensure that the Order does not introduce unacceptable risks or uncertainties to health, safety or, if applicable, the environment, it would set out requirements that would need to be met, including that the drug belongs to a class of drugs identified on a list incorporated by reference (</w:t>
            </w:r>
            <w:r w:rsidRPr="00C379C8" w:rsidR="00FE448B">
              <w:t>IbR</w:t>
            </w:r>
            <w:r w:rsidRPr="00C379C8" w:rsidR="00FE448B">
              <w:t xml:space="preserve"> List), that the manufacturer demonstrates that the drug has been authorized by an FRA on the </w:t>
            </w:r>
            <w:r w:rsidRPr="00C379C8" w:rsidR="00FE448B">
              <w:t>IbR</w:t>
            </w:r>
            <w:r w:rsidRPr="00C379C8" w:rsidR="00FE448B">
              <w:t xml:space="preserve"> List that relates to the class, and that any differences in the drug related to the part of the submission that the manufacturer seeks to have deemed in comparison to the drug authorized by the FRA would not negatively impact its safety or effectiveness. Information in the submission relating to those differences would be examined by the Minister along with other aspects of the submission unique to the Canadian market (e.g., labelling). Where the Minister considers that the differences could potentially negatively impact the safety and effectiveness of the drug, deeming would not be used for that component of the submission and a full examination would take place.</w:t>
            </w:r>
          </w:p>
          <w:p w:rsidR="00FE448B" w:rsidRPr="00C379C8" w:rsidP="002F6A28" w14:paraId="4E15D4A6" w14:textId="77777777">
            <w:pPr>
              <w:spacing w:before="120" w:after="120"/>
            </w:pPr>
            <w:r w:rsidRPr="00C379C8">
              <w:t xml:space="preserve">Health Canada uses its existing authorities under the Food and Drugs Act and the Food and Drug Regulations (FDR) to consider information or other material obtained from other regulatory authorities in its examination of new drug submissions. To further support and increase the Department's use of reliance on </w:t>
            </w:r>
            <w:r w:rsidRPr="00C379C8">
              <w:t>FRAs</w:t>
            </w:r>
            <w:r w:rsidRPr="00C379C8">
              <w:t xml:space="preserve">, the Order would, where the requirements of the Order are met, deem parts of the Minister's examination to have been </w:t>
            </w:r>
            <w:r w:rsidRPr="00C379C8">
              <w:t xml:space="preserve">completed on the basis of an </w:t>
            </w:r>
            <w:r w:rsidRPr="00C379C8">
              <w:t>FRA's</w:t>
            </w:r>
            <w:r w:rsidRPr="00C379C8">
              <w:t xml:space="preserve"> decision or document(s) under the following three scenarios:</w:t>
            </w:r>
          </w:p>
          <w:p w:rsidR="00FE448B" w:rsidRPr="00C379C8" w:rsidP="002F6A28" w14:paraId="368BB8F9" w14:textId="77777777">
            <w:pPr>
              <w:numPr>
                <w:ilvl w:val="0"/>
                <w:numId w:val="16"/>
              </w:numPr>
              <w:spacing w:before="120" w:after="120"/>
            </w:pPr>
            <w:r w:rsidRPr="00C379C8">
              <w:t>drug submissions for which a decision has already been made by an FRA about a foreign drug (General Deeming),</w:t>
            </w:r>
          </w:p>
          <w:p w:rsidR="00FE448B" w:rsidRPr="00C379C8" w:rsidP="002F6A28" w14:paraId="29440C0A" w14:textId="77777777">
            <w:pPr>
              <w:numPr>
                <w:ilvl w:val="0"/>
                <w:numId w:val="16"/>
              </w:numPr>
              <w:spacing w:before="120" w:after="120"/>
            </w:pPr>
            <w:r w:rsidRPr="00C379C8">
              <w:t>drug submissions for which a decision by an FRA to authorize a foreign drug has not yet been made, provided the submissions are filed in Canada within 120 days of being filed with an FRA (120-day Filing), and</w:t>
            </w:r>
          </w:p>
          <w:p w:rsidR="00FE448B" w:rsidRPr="00C379C8" w:rsidP="002F6A28" w14:paraId="328E9E78" w14:textId="77777777">
            <w:pPr>
              <w:numPr>
                <w:ilvl w:val="0"/>
                <w:numId w:val="16"/>
              </w:numPr>
              <w:spacing w:before="120" w:after="120"/>
            </w:pPr>
            <w:r w:rsidRPr="00C379C8">
              <w:t xml:space="preserve">drug submissions subject to joint review by Health Canada with one or more </w:t>
            </w:r>
            <w:r w:rsidRPr="00C379C8">
              <w:t>FRAs</w:t>
            </w:r>
            <w:r w:rsidRPr="00C379C8">
              <w:t xml:space="preserve"> (Joint Reviews).</w:t>
            </w:r>
          </w:p>
        </w:tc>
      </w:tr>
      <w:tr w14:paraId="4FF646F1" w14:textId="77777777" w:rsidTr="00DB13FE">
        <w:tblPrEx>
          <w:tblW w:w="5000" w:type="pct"/>
          <w:tblLayout w:type="fixed"/>
          <w:tblLook w:val="0000"/>
        </w:tblPrEx>
        <w:tc>
          <w:tcPr>
            <w:tcW w:w="607" w:type="dxa"/>
          </w:tcPr>
          <w:p w:rsidR="00F85C99" w:rsidRPr="002F6A28" w:rsidP="002F6A28" w14:paraId="67B16171" w14:textId="77777777">
            <w:pPr>
              <w:spacing w:before="120" w:after="120"/>
              <w:jc w:val="left"/>
              <w:rPr>
                <w:b/>
              </w:rPr>
            </w:pPr>
            <w:r w:rsidRPr="002F6A28">
              <w:rPr>
                <w:b/>
              </w:rPr>
              <w:t>7.</w:t>
            </w:r>
          </w:p>
        </w:tc>
        <w:tc>
          <w:tcPr>
            <w:tcW w:w="8373" w:type="dxa"/>
          </w:tcPr>
          <w:p w:rsidR="00F85C99" w:rsidRPr="002F6A28" w:rsidP="002F6A28" w14:paraId="1AF420B7" w14:textId="77777777">
            <w:pPr>
              <w:spacing w:before="120" w:after="120"/>
              <w:rPr>
                <w:b/>
              </w:rPr>
            </w:pPr>
            <w:r w:rsidRPr="002F6A28">
              <w:rPr>
                <w:b/>
              </w:rPr>
              <w:t>Objective and rationale, including the nature of urgent problems where applicable:</w:t>
            </w:r>
            <w:r w:rsidRPr="00C379C8" w:rsidR="00EE3A11">
              <w:t xml:space="preserve"> On July 9, 2025, the Government of Canada launched a </w:t>
            </w:r>
            <w:hyperlink r:id="rId7" w:history="1">
              <w:r w:rsidRPr="00C379C8" w:rsidR="00EE3A11">
                <w:rPr>
                  <w:color w:val="0000FF"/>
                  <w:u w:val="single"/>
                </w:rPr>
                <w:t>Red Tape Review</w:t>
              </w:r>
            </w:hyperlink>
            <w:r w:rsidRPr="00C379C8" w:rsidR="00EE3A11">
              <w:t xml:space="preserve"> (RTR) across the federal regulatory system. The review is intended to eliminate outdated or unnecessary rules and streamline the delivery of regulatory decisions. The RTR builds upon work already completed in recent years to modernize regulations and seeks to further streamline rules and reduce burden on both regulated parties and the government.</w:t>
            </w:r>
          </w:p>
          <w:p w:rsidR="00EE3A11" w:rsidRPr="00C379C8" w:rsidP="002F6A28" w14:paraId="2297DF34" w14:textId="77777777">
            <w:pPr>
              <w:spacing w:before="120" w:after="120"/>
            </w:pPr>
            <w:r w:rsidRPr="00C379C8">
              <w:t xml:space="preserve">Under RTR, international alignment and reduction of trade barriers is a key commitment, including to help achieve more timely access to products on the Canadian market. Products that Health Canada regulates are sold in an increasingly global marketplace, however, different regulatory requirements between jurisdictions can create burden and act as trade barriers. They can also slow economic growth and innovation by limiting the products and services that can access the Canadian marketplace. There is also an </w:t>
            </w:r>
            <w:r w:rsidRPr="00C379C8">
              <w:t>increasing need to align approaches for product authorizations and one way to do so is by relying on decisions and documents made by comparable foreign regulators.</w:t>
            </w:r>
          </w:p>
          <w:p w:rsidR="00EE3A11" w:rsidRPr="00C379C8" w:rsidP="002F6A28" w14:paraId="375A95BF" w14:textId="77777777">
            <w:pPr>
              <w:spacing w:before="120" w:after="120"/>
            </w:pPr>
            <w:r w:rsidRPr="00C379C8">
              <w:t xml:space="preserve">Increasingly, there has been a drive internationally for greater collaboration and reliance amongst regulators - to provide for the sharing of scientific expertise and efficiencies, streamline processes for the pharmaceutical industry and help facilitate market authorization through harmonization or convergence of regulatory requirements, standards and practices amongst regulators. This use of collaboration and reliance allows a regulator to make strategic choices regarding where they focus their resources </w:t>
            </w:r>
            <w:r w:rsidRPr="00C379C8">
              <w:t>based on where they are most needed, taking into account the health and safety of Canadians, and the public interest. It benefits regulatory authorities, the pharmaceutical industry and patients by helping to decrease the time to approval and by contributing to earlier availability of new products to market.</w:t>
            </w:r>
          </w:p>
          <w:p w:rsidR="00EE3A11" w:rsidRPr="00C379C8" w:rsidP="002F6A28" w14:paraId="292FA1A5" w14:textId="77777777">
            <w:pPr>
              <w:spacing w:before="120" w:after="120"/>
            </w:pPr>
            <w:r w:rsidRPr="00C379C8">
              <w:t>Within this environment, the proposed Order would seek to:</w:t>
            </w:r>
          </w:p>
          <w:p w:rsidR="00EE3A11" w:rsidRPr="00C379C8" w:rsidP="002F6A28" w14:paraId="235907F1" w14:textId="77777777">
            <w:pPr>
              <w:numPr>
                <w:ilvl w:val="0"/>
                <w:numId w:val="17"/>
              </w:numPr>
              <w:spacing w:before="120" w:after="120"/>
            </w:pPr>
            <w:r w:rsidRPr="00C379C8">
              <w:t>further support the health and safety of Canadians by leveraging international partnerships using a risk based approach to generate greater efficiencies in Health Canada reviews of submissions for drugs in Canada without compromising established requirements under the FDR;</w:t>
            </w:r>
          </w:p>
          <w:p w:rsidR="00EE3A11" w:rsidRPr="00C379C8" w:rsidP="002F6A28" w14:paraId="29926997" w14:textId="77777777">
            <w:pPr>
              <w:numPr>
                <w:ilvl w:val="0"/>
                <w:numId w:val="17"/>
              </w:numPr>
              <w:spacing w:before="120" w:after="120"/>
            </w:pPr>
            <w:r w:rsidRPr="00C379C8">
              <w:t>reduce the delay in filing of submissions for drugs in Canada;</w:t>
            </w:r>
          </w:p>
          <w:p w:rsidR="00EE3A11" w:rsidRPr="00C379C8" w:rsidP="002F6A28" w14:paraId="70E992CE" w14:textId="77777777">
            <w:pPr>
              <w:numPr>
                <w:ilvl w:val="0"/>
                <w:numId w:val="17"/>
              </w:numPr>
              <w:spacing w:before="120" w:after="120"/>
            </w:pPr>
            <w:r w:rsidRPr="00C379C8">
              <w:t xml:space="preserve">continue to strengthen and expand the use of information and decisions from </w:t>
            </w:r>
            <w:r w:rsidRPr="00C379C8">
              <w:t>FRAs</w:t>
            </w:r>
            <w:r w:rsidRPr="00C379C8">
              <w:t xml:space="preserve"> with the longer-term goal of increased collaboration in regulatory decision-making; and</w:t>
            </w:r>
          </w:p>
          <w:p w:rsidR="00EE3A11" w:rsidRPr="00C379C8" w:rsidP="002F6A28" w14:paraId="4BB1D794" w14:textId="77777777">
            <w:pPr>
              <w:numPr>
                <w:ilvl w:val="0"/>
                <w:numId w:val="17"/>
              </w:numPr>
              <w:spacing w:before="120" w:after="120"/>
            </w:pPr>
            <w:r w:rsidRPr="00C379C8">
              <w:t>enable Health Canada to refocus resources as needed, as one way to support the health and safety of Canadians.</w:t>
            </w:r>
          </w:p>
          <w:p w:rsidR="00EE3A11" w:rsidRPr="00C379C8" w:rsidP="002F6A28" w14:paraId="00A83497" w14:textId="77777777">
            <w:pPr>
              <w:spacing w:before="120" w:after="120"/>
            </w:pPr>
            <w:r w:rsidRPr="00C379C8">
              <w:t>As one component of the Government of Canada's broader RTR commitment, the proposed Order would help encourage earlier availability of drugs to the Canadian market by facilitating more efficient reviews of drug submissions and enabling greater international collaboration, joint review and reliance with regulatory partners while maintaining the safety, effectiveness and quality of these products.</w:t>
            </w:r>
          </w:p>
        </w:tc>
      </w:tr>
      <w:tr w14:paraId="1ABBD552" w14:textId="77777777" w:rsidTr="00DB13FE">
        <w:tblPrEx>
          <w:tblW w:w="5000" w:type="pct"/>
          <w:tblLayout w:type="fixed"/>
          <w:tblLook w:val="0000"/>
        </w:tblPrEx>
        <w:tc>
          <w:tcPr>
            <w:tcW w:w="607" w:type="dxa"/>
          </w:tcPr>
          <w:p w:rsidR="00F85C99" w:rsidRPr="002F6A28" w:rsidP="009E75ED" w14:paraId="360C6D56" w14:textId="77777777">
            <w:pPr>
              <w:spacing w:before="120" w:after="120"/>
              <w:jc w:val="left"/>
              <w:rPr>
                <w:b/>
              </w:rPr>
            </w:pPr>
            <w:r w:rsidRPr="002F6A28">
              <w:rPr>
                <w:b/>
              </w:rPr>
              <w:t>8.</w:t>
            </w:r>
          </w:p>
        </w:tc>
        <w:tc>
          <w:tcPr>
            <w:tcW w:w="8373" w:type="dxa"/>
          </w:tcPr>
          <w:p w:rsidR="000C3B6C" w:rsidRPr="00EC00D2" w:rsidP="007F13E8" w14:paraId="15CB3CC2" w14:textId="77777777">
            <w:pPr>
              <w:spacing w:before="120" w:after="120"/>
              <w:rPr>
                <w:bCs/>
              </w:rPr>
            </w:pPr>
            <w:r w:rsidRPr="002F6A28">
              <w:rPr>
                <w:b/>
              </w:rPr>
              <w:t>Relevant documents:</w:t>
            </w:r>
            <w:r w:rsidRPr="002F6A28" w:rsidR="00EE3A11">
              <w:t xml:space="preserve"> </w:t>
            </w:r>
          </w:p>
          <w:p w:rsidR="00EE3A11" w:rsidRPr="002F6A28" w:rsidP="007F13E8" w14:paraId="30E6A104" w14:textId="77777777">
            <w:pPr>
              <w:spacing w:before="120" w:after="120"/>
            </w:pPr>
            <w:r w:rsidRPr="002F6A28">
              <w:rPr>
                <w:i/>
                <w:iCs/>
              </w:rPr>
              <w:t>Canada Gazette</w:t>
            </w:r>
            <w:r w:rsidRPr="002F6A28">
              <w:t xml:space="preserve">, Part I, December 20, 2025, pages 2661–2718, </w:t>
            </w:r>
            <w:hyperlink r:id="rId8" w:anchor="page=203" w:history="1">
              <w:r w:rsidRPr="002F6A28">
                <w:rPr>
                  <w:color w:val="0000FF"/>
                  <w:u w:val="single"/>
                </w:rPr>
                <w:t>https://gazette.gc.ca/rp-pr/p1/2025/2025-12-20/pdf/g1-15951.pdf#page=203</w:t>
              </w:r>
            </w:hyperlink>
            <w:r w:rsidRPr="002F6A28">
              <w:t>, (available in English and French)</w:t>
            </w:r>
          </w:p>
        </w:tc>
      </w:tr>
      <w:tr w14:paraId="7622CC16" w14:textId="77777777" w:rsidTr="00DB13FE">
        <w:tblPrEx>
          <w:tblW w:w="5000" w:type="pct"/>
          <w:tblLayout w:type="fixed"/>
          <w:tblLook w:val="0000"/>
        </w:tblPrEx>
        <w:tc>
          <w:tcPr>
            <w:tcW w:w="607" w:type="dxa"/>
          </w:tcPr>
          <w:p w:rsidR="00EE3A11" w:rsidRPr="002F6A28" w:rsidP="002F6A28" w14:paraId="32F36D7A" w14:textId="77777777">
            <w:pPr>
              <w:spacing w:before="120" w:after="120"/>
              <w:jc w:val="left"/>
              <w:rPr>
                <w:b/>
              </w:rPr>
            </w:pPr>
            <w:r w:rsidRPr="002F6A28">
              <w:rPr>
                <w:b/>
              </w:rPr>
              <w:t>9.</w:t>
            </w:r>
          </w:p>
        </w:tc>
        <w:tc>
          <w:tcPr>
            <w:tcW w:w="8373" w:type="dxa"/>
          </w:tcPr>
          <w:p w:rsidR="00EE3A11" w:rsidRPr="002F6A28" w:rsidP="008953C4" w14:paraId="3FBBAE1F" w14:textId="77777777">
            <w:pPr>
              <w:spacing w:before="120" w:after="120"/>
            </w:pPr>
            <w:r w:rsidRPr="002F6A28">
              <w:rPr>
                <w:b/>
              </w:rPr>
              <w:t>Proposed date of adoption:</w:t>
            </w:r>
            <w:r w:rsidRPr="00C379C8">
              <w:t xml:space="preserve"> To be determined</w:t>
            </w:r>
          </w:p>
          <w:p w:rsidR="00EE3A11" w:rsidRPr="002F6A28" w:rsidP="008953C4" w14:paraId="1E13BC12" w14:textId="77777777">
            <w:pPr>
              <w:spacing w:after="120"/>
            </w:pPr>
            <w:r w:rsidRPr="002F6A28">
              <w:rPr>
                <w:b/>
              </w:rPr>
              <w:t>Proposed date of entry into force:</w:t>
            </w:r>
            <w:r w:rsidRPr="00C379C8">
              <w:t xml:space="preserve"> These proposed Regulations would come into force on the day of their publication in the Canada Gazette, Part II.</w:t>
            </w:r>
          </w:p>
        </w:tc>
      </w:tr>
      <w:tr w14:paraId="449ACC26" w14:textId="77777777" w:rsidTr="00DB13FE">
        <w:tblPrEx>
          <w:tblW w:w="5000" w:type="pct"/>
          <w:tblLayout w:type="fixed"/>
          <w:tblLook w:val="0000"/>
        </w:tblPrEx>
        <w:tc>
          <w:tcPr>
            <w:tcW w:w="607" w:type="dxa"/>
            <w:tcBorders>
              <w:bottom w:val="double" w:sz="4" w:space="0" w:color="auto"/>
            </w:tcBorders>
          </w:tcPr>
          <w:p w:rsidR="00F85C99" w:rsidRPr="002F6A28" w:rsidP="002F6A28" w14:paraId="2FFC681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33381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4FC9BFC" w14:textId="77777777">
            <w:pPr>
              <w:spacing w:before="120" w:after="120"/>
              <w:rPr>
                <w:bCs/>
              </w:rPr>
            </w:pPr>
            <w:r w:rsidRPr="002F6A28">
              <w:rPr>
                <w:b/>
              </w:rPr>
              <w:t>Final date for comments:</w:t>
            </w:r>
            <w:r w:rsidRPr="00C379C8" w:rsidR="00EE3A11">
              <w:t xml:space="preserve"> 18 February 2026</w:t>
            </w:r>
          </w:p>
          <w:p w:rsidR="000C3B6C" w:rsidRPr="00E3324D" w:rsidP="000C3B6C" w14:paraId="09F8D82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A89520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11DCB45" w14:textId="77777777">
            <w:r w:rsidRPr="00CE6C29">
              <w:t>Canada's Notification Authority and Enquiry Point</w:t>
            </w:r>
          </w:p>
          <w:p w:rsidR="00CE6C29" w:rsidRPr="00CE6C29" w:rsidP="000C3B6C" w14:paraId="1F0C1902" w14:textId="77777777">
            <w:r w:rsidRPr="00CE6C29">
              <w:t>Technical Barriers and Regulations Division</w:t>
            </w:r>
          </w:p>
          <w:p w:rsidR="00CE6C29" w:rsidRPr="00CE6C29" w:rsidP="000C3B6C" w14:paraId="2E28120F" w14:textId="77777777">
            <w:r w:rsidRPr="00CE6C29">
              <w:t>Global Affairs Canada</w:t>
            </w:r>
          </w:p>
          <w:p w:rsidR="00CE6C29" w:rsidRPr="00CE6C29" w:rsidP="000C3B6C" w14:paraId="524982FE" w14:textId="77777777">
            <w:r w:rsidRPr="00CE6C29">
              <w:t>111 Sussex Drive</w:t>
            </w:r>
          </w:p>
          <w:p w:rsidR="00CE6C29" w:rsidRPr="00CE6C29" w:rsidP="000C3B6C" w14:paraId="6933374B" w14:textId="77777777">
            <w:r w:rsidRPr="00CE6C29">
              <w:t>Ottawa, Ontario, K1A 0G2</w:t>
            </w:r>
          </w:p>
          <w:p w:rsidR="00CE6C29" w:rsidRPr="00CE6C29" w:rsidP="000C3B6C" w14:paraId="6CDD1D19" w14:textId="77777777">
            <w:r w:rsidRPr="00CE6C29">
              <w:t>Canada</w:t>
            </w:r>
          </w:p>
          <w:p w:rsidR="00CE6C29" w:rsidRPr="00CE6C29" w:rsidP="000C3B6C" w14:paraId="79B234A6" w14:textId="77777777">
            <w:pPr>
              <w:spacing w:after="120"/>
            </w:pPr>
            <w:r w:rsidRPr="00CE6C29">
              <w:t xml:space="preserve">Email: </w:t>
            </w:r>
            <w:hyperlink r:id="rId9" w:history="1">
              <w:r w:rsidRPr="00CE6C29">
                <w:rPr>
                  <w:color w:val="0000FF"/>
                  <w:u w:val="single"/>
                </w:rPr>
                <w:t>enquirypoint@international.gc.ca</w:t>
              </w:r>
            </w:hyperlink>
          </w:p>
        </w:tc>
      </w:tr>
    </w:tbl>
    <w:p w:rsidR="00EE3A11" w:rsidRPr="002F6A28" w:rsidP="00887259" w14:paraId="0196B3C9"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3C439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7E7BE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B6ABA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05865D" w14:textId="77777777">
    <w:pPr>
      <w:pStyle w:val="Header"/>
      <w:pBdr>
        <w:bottom w:val="single" w:sz="4" w:space="1" w:color="auto"/>
      </w:pBdr>
      <w:tabs>
        <w:tab w:val="clear" w:pos="4513"/>
        <w:tab w:val="clear" w:pos="9027"/>
      </w:tabs>
      <w:jc w:val="center"/>
    </w:pPr>
    <w:r w:rsidRPr="002F6A28">
      <w:t>tbtSymbol</w:t>
    </w:r>
  </w:p>
  <w:p w:rsidR="009239F7" w:rsidRPr="002F6A28" w:rsidP="009239F7" w14:paraId="7E0092E5" w14:textId="77777777">
    <w:pPr>
      <w:pStyle w:val="Header"/>
      <w:pBdr>
        <w:bottom w:val="single" w:sz="4" w:space="1" w:color="auto"/>
      </w:pBdr>
      <w:tabs>
        <w:tab w:val="clear" w:pos="4513"/>
        <w:tab w:val="clear" w:pos="9027"/>
      </w:tabs>
      <w:jc w:val="center"/>
    </w:pPr>
  </w:p>
  <w:p w:rsidR="009239F7" w:rsidRPr="002F6A28" w:rsidP="009239F7" w14:paraId="771057B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0229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19464A" w14:textId="77777777">
    <w:pPr>
      <w:pStyle w:val="Header"/>
      <w:pBdr>
        <w:bottom w:val="single" w:sz="4" w:space="1" w:color="auto"/>
      </w:pBdr>
      <w:tabs>
        <w:tab w:val="clear" w:pos="4513"/>
        <w:tab w:val="clear" w:pos="9027"/>
      </w:tabs>
      <w:jc w:val="center"/>
    </w:pPr>
    <w:bookmarkStart w:id="0" w:name="spsSymbolHeader"/>
    <w:r w:rsidRPr="002F6A28">
      <w:t>G/TBT/N/CAN/765</w:t>
    </w:r>
    <w:bookmarkEnd w:id="0"/>
  </w:p>
  <w:p w:rsidR="009239F7" w:rsidRPr="002F6A28" w:rsidP="009239F7" w14:paraId="30AA6085" w14:textId="77777777">
    <w:pPr>
      <w:pStyle w:val="Header"/>
      <w:pBdr>
        <w:bottom w:val="single" w:sz="4" w:space="1" w:color="auto"/>
      </w:pBdr>
      <w:tabs>
        <w:tab w:val="clear" w:pos="4513"/>
        <w:tab w:val="clear" w:pos="9027"/>
      </w:tabs>
      <w:jc w:val="center"/>
    </w:pPr>
  </w:p>
  <w:p w:rsidR="009239F7" w:rsidRPr="002F6A28" w:rsidP="009239F7" w14:paraId="1345ADC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3286E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7C5A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6F4A1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A7B6FC9" w14:textId="77777777">
          <w:pPr>
            <w:jc w:val="right"/>
            <w:rPr>
              <w:b/>
              <w:color w:val="FF0000"/>
              <w:szCs w:val="16"/>
            </w:rPr>
          </w:pPr>
        </w:p>
      </w:tc>
    </w:tr>
    <w:bookmarkEnd w:id="1"/>
    <w:tr w14:paraId="4687CF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9B30ED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54DD8EC" w14:textId="77777777">
          <w:pPr>
            <w:jc w:val="right"/>
            <w:rPr>
              <w:b/>
              <w:szCs w:val="16"/>
            </w:rPr>
          </w:pPr>
        </w:p>
      </w:tc>
    </w:tr>
    <w:tr w14:paraId="3EA766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2195A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A761243" w14:textId="77777777">
          <w:pPr>
            <w:jc w:val="right"/>
            <w:rPr>
              <w:b/>
              <w:szCs w:val="16"/>
            </w:rPr>
          </w:pPr>
          <w:bookmarkStart w:id="2" w:name="bmkSymbols"/>
          <w:r w:rsidRPr="002F6A28">
            <w:rPr>
              <w:b/>
              <w:szCs w:val="16"/>
            </w:rPr>
            <w:t>G/TBT/N/CAN/765</w:t>
          </w:r>
          <w:bookmarkEnd w:id="2"/>
        </w:p>
      </w:tc>
    </w:tr>
    <w:tr w14:paraId="12399EA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20F90F" w14:textId="77777777"/>
      </w:tc>
      <w:tc>
        <w:tcPr>
          <w:tcW w:w="5448" w:type="dxa"/>
          <w:gridSpan w:val="2"/>
          <w:shd w:val="clear" w:color="auto" w:fill="FFFFFF"/>
          <w:tcMar>
            <w:left w:w="108" w:type="dxa"/>
            <w:right w:w="108" w:type="dxa"/>
          </w:tcMar>
          <w:vAlign w:val="center"/>
        </w:tcPr>
        <w:p w:rsidR="00ED54E0" w:rsidRPr="009239F7" w:rsidP="00B801E9" w14:paraId="06FF7BB6" w14:textId="77777777">
          <w:pPr>
            <w:jc w:val="right"/>
            <w:rPr>
              <w:szCs w:val="16"/>
            </w:rPr>
          </w:pPr>
          <w:bookmarkStart w:id="3" w:name="spsDateDistribution"/>
          <w:bookmarkStart w:id="4" w:name="bmkDate"/>
          <w:r w:rsidRPr="009239F7">
            <w:rPr>
              <w:szCs w:val="16"/>
            </w:rPr>
            <w:t>5 January 2026</w:t>
          </w:r>
          <w:bookmarkEnd w:id="3"/>
          <w:bookmarkEnd w:id="4"/>
        </w:p>
      </w:tc>
    </w:tr>
    <w:tr w14:paraId="1BA69B9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7875217" w14:textId="77777777">
          <w:pPr>
            <w:jc w:val="left"/>
            <w:rPr>
              <w:b/>
            </w:rPr>
          </w:pPr>
          <w:bookmarkStart w:id="5" w:name="bmkSerial"/>
          <w:r>
            <w:rPr>
              <w:rFonts w:ascii="Verdana" w:eastAsia="Verdana" w:hAnsi="Verdana" w:cs="Verdana"/>
              <w:b w:val="0"/>
              <w:color w:val="FF0000"/>
              <w:sz w:val="18"/>
            </w:rPr>
            <w:t>(26-0006)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D6520C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1A02A8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1AC36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6BBE72B" w14:textId="0B4BCBA2">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r w:rsidR="00ED431C">
            <w:rPr>
              <w:bCs/>
              <w:szCs w:val="18"/>
            </w:rPr>
            <w:t>/</w:t>
          </w:r>
          <w:r w:rsidRPr="002F6A28" w:rsidR="00F263FA">
            <w:rPr>
              <w:bCs/>
              <w:szCs w:val="18"/>
            </w:rPr>
            <w:t>French</w:t>
          </w:r>
          <w:bookmarkEnd w:id="8"/>
          <w:bookmarkEnd w:id="9"/>
        </w:p>
      </w:tc>
    </w:tr>
  </w:tbl>
  <w:p w:rsidR="00ED54E0" w:rsidRPr="002F6A28" w14:paraId="488D13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21039693">
    <w:abstractNumId w:val="9"/>
  </w:num>
  <w:num w:numId="2" w16cid:durableId="1392535884">
    <w:abstractNumId w:val="7"/>
  </w:num>
  <w:num w:numId="3" w16cid:durableId="117796743">
    <w:abstractNumId w:val="6"/>
  </w:num>
  <w:num w:numId="4" w16cid:durableId="139466859">
    <w:abstractNumId w:val="5"/>
  </w:num>
  <w:num w:numId="5" w16cid:durableId="102043926">
    <w:abstractNumId w:val="4"/>
  </w:num>
  <w:num w:numId="6" w16cid:durableId="967465777">
    <w:abstractNumId w:val="12"/>
  </w:num>
  <w:num w:numId="7" w16cid:durableId="1011567016">
    <w:abstractNumId w:val="11"/>
  </w:num>
  <w:num w:numId="8" w16cid:durableId="1689139817">
    <w:abstractNumId w:val="10"/>
  </w:num>
  <w:num w:numId="9" w16cid:durableId="19170152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8035279">
    <w:abstractNumId w:val="13"/>
  </w:num>
  <w:num w:numId="11" w16cid:durableId="1151363032">
    <w:abstractNumId w:val="8"/>
  </w:num>
  <w:num w:numId="12" w16cid:durableId="1302004123">
    <w:abstractNumId w:val="3"/>
  </w:num>
  <w:num w:numId="13" w16cid:durableId="1498577516">
    <w:abstractNumId w:val="2"/>
  </w:num>
  <w:num w:numId="14" w16cid:durableId="647590747">
    <w:abstractNumId w:val="1"/>
  </w:num>
  <w:num w:numId="15" w16cid:durableId="1060834603">
    <w:abstractNumId w:val="0"/>
  </w:num>
  <w:num w:numId="16" w16cid:durableId="789008285">
    <w:abstractNumId w:val="14"/>
  </w:num>
  <w:num w:numId="17" w16cid:durableId="14995374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1F1A"/>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2391"/>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4F5A"/>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18E1"/>
    <w:rsid w:val="00B7102C"/>
    <w:rsid w:val="00B801E9"/>
    <w:rsid w:val="00B97638"/>
    <w:rsid w:val="00BB0455"/>
    <w:rsid w:val="00BB1F84"/>
    <w:rsid w:val="00BD5D17"/>
    <w:rsid w:val="00BE4B6D"/>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77B5"/>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431C"/>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0F0CA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1/2025/2025-12-20/html/reg4-eng.html" TargetMode="External" /><Relationship Id="rId7" Type="http://schemas.openxmlformats.org/officeDocument/2006/relationships/hyperlink" Target="https://www.canada.ca/en/services/health/publications/health-system-services/report-red-tape-reduction.html" TargetMode="External" /><Relationship Id="rId8" Type="http://schemas.openxmlformats.org/officeDocument/2006/relationships/hyperlink" Target="https://gazette.gc.ca/rp-pr/p1/2025/2025-12-20/pdf/g1-15951.pdf" TargetMode="External" /><Relationship Id="rId9" Type="http://schemas.openxmlformats.org/officeDocument/2006/relationships/hyperlink" Target="mailto:enquirypoint@international.gc.c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8BB1D-5DAA-4749-92DC-0EDF74D6E6F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1141</Words>
  <Characters>6509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2026-01-05T08:43:00Z</dcterms:created>
  <dcterms:modified xsi:type="dcterms:W3CDTF">2026-01-05T08:49:00Z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