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1E40C0E" w14:textId="77777777">
      <w:pPr>
        <w:pStyle w:val="Title"/>
      </w:pPr>
      <w:r w:rsidRPr="002F663C">
        <w:t>NOTIFICATION</w:t>
      </w:r>
    </w:p>
    <w:p w:rsidR="002F663C" w:rsidRPr="002F663C" w:rsidP="00DD3DD7" w14:paraId="54AF6ED8" w14:textId="77777777">
      <w:pPr>
        <w:pStyle w:val="Title3"/>
      </w:pPr>
      <w:r w:rsidRPr="002F663C">
        <w:t>Addendum</w:t>
      </w:r>
    </w:p>
    <w:p w:rsidR="002F663C" w:rsidP="001E2E4A" w14:paraId="693C34C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5C09340" w14:textId="77777777">
      <w:pPr>
        <w:rPr>
          <w:rFonts w:eastAsia="Calibri" w:cs="Times New Roman"/>
        </w:rPr>
      </w:pPr>
    </w:p>
    <w:p w:rsidR="002F663C" w:rsidRPr="002F663C" w:rsidP="002F663C" w14:paraId="07DDCE81" w14:textId="77777777">
      <w:pPr>
        <w:jc w:val="center"/>
        <w:rPr>
          <w:rFonts w:eastAsia="Calibri" w:cs="Times New Roman"/>
          <w:b/>
        </w:rPr>
      </w:pPr>
      <w:r w:rsidRPr="002F663C">
        <w:rPr>
          <w:rFonts w:eastAsia="Calibri" w:cs="Times New Roman"/>
          <w:b/>
        </w:rPr>
        <w:t>_______________</w:t>
      </w:r>
    </w:p>
    <w:p w:rsidR="002F663C" w:rsidP="002F663C" w14:paraId="6347CC94" w14:textId="77777777">
      <w:pPr>
        <w:rPr>
          <w:rFonts w:eastAsia="Calibri" w:cs="Times New Roman"/>
        </w:rPr>
      </w:pPr>
    </w:p>
    <w:p w:rsidR="00C14444" w:rsidRPr="002F663C" w:rsidP="002F663C" w14:paraId="54803FED" w14:textId="77777777">
      <w:pPr>
        <w:rPr>
          <w:rFonts w:eastAsia="Calibri" w:cs="Times New Roman"/>
        </w:rPr>
      </w:pPr>
    </w:p>
    <w:p w:rsidR="002F663C" w:rsidRPr="002F663C" w:rsidP="002F663C" w14:paraId="5721521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2025 Updates to Oregon's Clean Truck Rules</w:t>
      </w:r>
    </w:p>
    <w:p w:rsidR="002F663C" w:rsidRPr="002F663C" w:rsidP="002F663C" w14:paraId="34574B3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DA2BEB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3EE7247"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4915430E" w14:textId="77777777" w:rsidTr="00E9471B">
        <w:tblPrEx>
          <w:tblW w:w="9049" w:type="dxa"/>
          <w:tblLayout w:type="fixed"/>
          <w:tblLook w:val="04A0"/>
        </w:tblPrEx>
        <w:tc>
          <w:tcPr>
            <w:tcW w:w="851" w:type="dxa"/>
            <w:shd w:val="clear" w:color="auto" w:fill="auto"/>
          </w:tcPr>
          <w:p w:rsidR="002F663C" w:rsidRPr="00711F9C" w:rsidP="00C14444" w14:paraId="277B8A2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96F2CC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9D772BB" w14:textId="77777777" w:rsidTr="00E9471B">
        <w:tblPrEx>
          <w:tblW w:w="9049" w:type="dxa"/>
          <w:tblLayout w:type="fixed"/>
          <w:tblLook w:val="04A0"/>
        </w:tblPrEx>
        <w:tc>
          <w:tcPr>
            <w:tcW w:w="851" w:type="dxa"/>
            <w:shd w:val="clear" w:color="auto" w:fill="auto"/>
          </w:tcPr>
          <w:p w:rsidR="002F663C" w:rsidRPr="00711F9C" w:rsidP="00C14444" w14:paraId="4FBA407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748AB11"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10 July 2025</w:t>
            </w:r>
          </w:p>
        </w:tc>
      </w:tr>
      <w:tr w14:paraId="44E342F2" w14:textId="77777777" w:rsidTr="00E9471B">
        <w:tblPrEx>
          <w:tblW w:w="9049" w:type="dxa"/>
          <w:tblLayout w:type="fixed"/>
          <w:tblLook w:val="04A0"/>
        </w:tblPrEx>
        <w:tc>
          <w:tcPr>
            <w:tcW w:w="851" w:type="dxa"/>
            <w:shd w:val="clear" w:color="auto" w:fill="auto"/>
          </w:tcPr>
          <w:p w:rsidR="002F663C" w:rsidRPr="00711F9C" w:rsidP="00C14444" w14:paraId="59595BA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41F03D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680CEB0" w14:textId="77777777" w:rsidTr="00E9471B">
        <w:tblPrEx>
          <w:tblW w:w="9049" w:type="dxa"/>
          <w:tblLayout w:type="fixed"/>
          <w:tblLook w:val="04A0"/>
        </w:tblPrEx>
        <w:tc>
          <w:tcPr>
            <w:tcW w:w="851" w:type="dxa"/>
            <w:shd w:val="clear" w:color="auto" w:fill="auto"/>
          </w:tcPr>
          <w:p w:rsidR="002F663C" w:rsidRPr="00711F9C" w:rsidP="00C14444" w14:paraId="5D8C10B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169E4F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10 July 2025</w:t>
            </w:r>
          </w:p>
        </w:tc>
      </w:tr>
      <w:tr w14:paraId="7B813076" w14:textId="77777777" w:rsidTr="00E9471B">
        <w:tblPrEx>
          <w:tblW w:w="9049" w:type="dxa"/>
          <w:tblLayout w:type="fixed"/>
          <w:tblLook w:val="04A0"/>
        </w:tblPrEx>
        <w:tc>
          <w:tcPr>
            <w:tcW w:w="851" w:type="dxa"/>
            <w:shd w:val="clear" w:color="auto" w:fill="auto"/>
          </w:tcPr>
          <w:p w:rsidR="002F663C" w:rsidRPr="00711F9C" w:rsidP="00C14444" w14:paraId="0686075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ED3459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A211D79" w14:textId="77777777">
            <w:pPr>
              <w:spacing w:before="120" w:after="120"/>
              <w:rPr>
                <w:rFonts w:eastAsia="Calibri" w:cs="Times New Roman"/>
              </w:rPr>
            </w:pPr>
            <w:hyperlink r:id="rId6" w:tgtFrame="_blank" w:history="1">
              <w:r w:rsidRPr="002F663C">
                <w:rPr>
                  <w:rFonts w:eastAsia="Calibri" w:cs="Times New Roman"/>
                  <w:color w:val="0000FF"/>
                  <w:u w:val="single"/>
                </w:rPr>
                <w:t>https://ormswd2.synergydcs.com/HPRMWebDrawer/RecordView/6332814</w:t>
              </w:r>
            </w:hyperlink>
          </w:p>
          <w:p w:rsidR="002F663C" w:rsidRPr="002F663C" w:rsidP="00EB7B40" w14:paraId="13749B9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https://members.wto.org/crnattachments/2025/TBT/USA/final_measure/25_04590_00_e.pdf</w:t>
              </w:r>
            </w:hyperlink>
          </w:p>
        </w:tc>
      </w:tr>
      <w:tr w14:paraId="681E934F" w14:textId="77777777" w:rsidTr="00E9471B">
        <w:tblPrEx>
          <w:tblW w:w="9049" w:type="dxa"/>
          <w:tblLayout w:type="fixed"/>
          <w:tblLook w:val="04A0"/>
        </w:tblPrEx>
        <w:tc>
          <w:tcPr>
            <w:tcW w:w="851" w:type="dxa"/>
            <w:shd w:val="clear" w:color="auto" w:fill="auto"/>
          </w:tcPr>
          <w:p w:rsidR="002F663C" w:rsidRPr="00711F9C" w:rsidP="00C14444" w14:paraId="262D2BC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DF6714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2656D4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6BABCD6" w14:textId="77777777" w:rsidTr="00E9471B">
        <w:tblPrEx>
          <w:tblW w:w="9049" w:type="dxa"/>
          <w:tblLayout w:type="fixed"/>
          <w:tblLook w:val="04A0"/>
        </w:tblPrEx>
        <w:tc>
          <w:tcPr>
            <w:tcW w:w="851" w:type="dxa"/>
            <w:shd w:val="clear" w:color="auto" w:fill="auto"/>
          </w:tcPr>
          <w:p w:rsidR="002F663C" w:rsidRPr="00711F9C" w:rsidP="00C14444" w14:paraId="78063F5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2B8362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0018E3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CE8DE1B" w14:textId="77777777" w:rsidTr="00E9471B">
        <w:tblPrEx>
          <w:tblW w:w="9049" w:type="dxa"/>
          <w:tblLayout w:type="fixed"/>
          <w:tblLook w:val="04A0"/>
        </w:tblPrEx>
        <w:tc>
          <w:tcPr>
            <w:tcW w:w="851" w:type="dxa"/>
            <w:shd w:val="clear" w:color="auto" w:fill="auto"/>
          </w:tcPr>
          <w:p w:rsidR="002F663C" w:rsidRPr="00711F9C" w:rsidP="00C14444" w14:paraId="64EB2F3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D7E2F4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778907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C9DA2C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67B690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74C5471" w14:textId="77777777">
      <w:pPr>
        <w:jc w:val="left"/>
        <w:rPr>
          <w:rFonts w:eastAsia="Calibri" w:cs="Times New Roman"/>
          <w:highlight w:val="yellow"/>
        </w:rPr>
      </w:pPr>
    </w:p>
    <w:p w:rsidR="003971FF" w:rsidRPr="007F6EA2" w:rsidP="00B16ACF" w14:paraId="76505A1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10 July 2025, the </w:t>
      </w:r>
      <w:hyperlink r:id="rId8" w:history="1">
        <w:r w:rsidRPr="002F663C">
          <w:rPr>
            <w:rFonts w:eastAsia="Calibri" w:cs="Times New Roman"/>
            <w:color w:val="0000FF"/>
            <w:szCs w:val="18"/>
            <w:u w:val="single"/>
          </w:rPr>
          <w:t>Environmental Quality Commission</w:t>
        </w:r>
      </w:hyperlink>
      <w:r w:rsidRPr="002F663C">
        <w:rPr>
          <w:rFonts w:eastAsia="Calibri" w:cs="Times New Roman"/>
          <w:szCs w:val="18"/>
        </w:rPr>
        <w:t xml:space="preserve"> (EQC), the policy and rulemaking board for the </w:t>
      </w:r>
      <w:hyperlink r:id="rId9" w:history="1">
        <w:r w:rsidRPr="002F663C">
          <w:rPr>
            <w:rFonts w:eastAsia="Calibri" w:cs="Times New Roman"/>
            <w:color w:val="0000FF"/>
            <w:szCs w:val="18"/>
            <w:u w:val="single"/>
          </w:rPr>
          <w:t>Oregon Department of Environmental Quality</w:t>
        </w:r>
      </w:hyperlink>
      <w:r w:rsidRPr="002F663C">
        <w:rPr>
          <w:rFonts w:eastAsia="Calibri" w:cs="Times New Roman"/>
          <w:szCs w:val="18"/>
        </w:rPr>
        <w:t xml:space="preserve"> (DEQ), adopted permanent rules for new medium- and heavy-duty vehicles across the state. This action replaces and ensures Oregon is aligned with recent changes to </w:t>
      </w:r>
      <w:hyperlink r:id="rId10" w:history="1">
        <w:r w:rsidRPr="002F663C">
          <w:rPr>
            <w:rFonts w:eastAsia="Calibri" w:cs="Times New Roman"/>
            <w:color w:val="0000FF"/>
            <w:szCs w:val="18"/>
            <w:u w:val="single"/>
          </w:rPr>
          <w:t>California Air Resources Board</w:t>
        </w:r>
      </w:hyperlink>
      <w:r w:rsidRPr="002F663C">
        <w:rPr>
          <w:rFonts w:eastAsia="Calibri" w:cs="Times New Roman"/>
          <w:szCs w:val="18"/>
        </w:rPr>
        <w:t xml:space="preserve"> (CARB) </w:t>
      </w:r>
      <w:hyperlink r:id="rId11" w:history="1">
        <w:r w:rsidRPr="002F663C">
          <w:rPr>
            <w:rFonts w:eastAsia="Calibri" w:cs="Times New Roman"/>
            <w:color w:val="0000FF"/>
            <w:szCs w:val="18"/>
            <w:u w:val="single"/>
          </w:rPr>
          <w:t>regulations</w:t>
        </w:r>
      </w:hyperlink>
      <w:r w:rsidRPr="002F663C">
        <w:rPr>
          <w:rFonts w:eastAsia="Calibri" w:cs="Times New Roman"/>
          <w:szCs w:val="18"/>
        </w:rPr>
        <w:t xml:space="preserve">. Oregon has chosen to follow California's </w:t>
      </w:r>
      <w:hyperlink r:id="rId12" w:history="1">
        <w:r w:rsidRPr="002F663C">
          <w:rPr>
            <w:rFonts w:eastAsia="Calibri" w:cs="Times New Roman"/>
            <w:color w:val="0000FF"/>
            <w:szCs w:val="18"/>
            <w:u w:val="single"/>
          </w:rPr>
          <w:t>medium- and heavy-duty vehicle emission standards</w:t>
        </w:r>
      </w:hyperlink>
      <w:r w:rsidRPr="002F663C">
        <w:rPr>
          <w:rFonts w:eastAsia="Calibri" w:cs="Times New Roman"/>
          <w:szCs w:val="18"/>
        </w:rPr>
        <w:t>. The permanent rules take effect immediately.</w:t>
      </w:r>
    </w:p>
    <w:p w:rsidR="00C8549F" w:rsidRPr="002F663C" w:rsidP="00B16ACF" w14:paraId="039C81BE" w14:textId="77777777">
      <w:pPr>
        <w:spacing w:before="120" w:after="120"/>
        <w:rPr>
          <w:rFonts w:eastAsia="Calibri" w:cs="Times New Roman"/>
          <w:szCs w:val="18"/>
        </w:rPr>
      </w:pPr>
      <w:r w:rsidRPr="002F663C">
        <w:rPr>
          <w:rFonts w:eastAsia="Calibri" w:cs="Times New Roman"/>
          <w:szCs w:val="18"/>
        </w:rPr>
        <w:t xml:space="preserve">The Clean Truck Rules were </w:t>
      </w:r>
      <w:hyperlink r:id="rId6" w:history="1">
        <w:r w:rsidRPr="002F663C">
          <w:rPr>
            <w:rFonts w:eastAsia="Calibri" w:cs="Times New Roman"/>
            <w:color w:val="0000FF"/>
            <w:szCs w:val="18"/>
            <w:u w:val="single"/>
          </w:rPr>
          <w:t>originally adopted</w:t>
        </w:r>
      </w:hyperlink>
      <w:r w:rsidRPr="002F663C">
        <w:rPr>
          <w:rFonts w:eastAsia="Calibri" w:cs="Times New Roman"/>
          <w:szCs w:val="18"/>
        </w:rPr>
        <w:t xml:space="preserve"> in 2021. They are composed of two separate regulations:</w:t>
      </w:r>
    </w:p>
    <w:p w:rsidR="00C8549F" w:rsidRPr="002F663C" w:rsidP="00B16ACF" w14:paraId="262A0CCC" w14:textId="77777777">
      <w:pPr>
        <w:numPr>
          <w:ilvl w:val="0"/>
          <w:numId w:val="17"/>
        </w:numPr>
        <w:spacing w:before="120" w:after="120"/>
        <w:rPr>
          <w:rFonts w:eastAsia="Calibri" w:cs="Times New Roman"/>
          <w:szCs w:val="18"/>
        </w:rPr>
      </w:pPr>
      <w:hyperlink r:id="rId13" w:history="1">
        <w:r w:rsidRPr="002F663C">
          <w:rPr>
            <w:rFonts w:eastAsia="Calibri" w:cs="Times New Roman"/>
            <w:b/>
            <w:bCs/>
            <w:color w:val="0000FF"/>
            <w:szCs w:val="18"/>
            <w:u w:val="single"/>
          </w:rPr>
          <w:t>Oregon's Advanced Clean Trucks Rule:</w:t>
        </w:r>
      </w:hyperlink>
      <w:r w:rsidRPr="002F663C">
        <w:rPr>
          <w:rFonts w:eastAsia="Calibri" w:cs="Times New Roman"/>
          <w:szCs w:val="18"/>
        </w:rPr>
        <w:t xml:space="preserve"> Also known as the "ACT Rule," it requires manufacturers to gradually sell a greater percentage of medium- and heavy-duty zero-</w:t>
      </w:r>
      <w:r w:rsidRPr="002F663C">
        <w:rPr>
          <w:rFonts w:eastAsia="Calibri" w:cs="Times New Roman"/>
          <w:szCs w:val="18"/>
        </w:rPr>
        <w:t xml:space="preserve">emission vehicles in the state each year, starting with 2025 model year vehicles. Additional updates include the following: </w:t>
      </w:r>
    </w:p>
    <w:p w:rsidR="00C8549F" w:rsidRPr="002F663C" w:rsidP="00B16ACF" w14:paraId="3639BF7C" w14:textId="77777777">
      <w:pPr>
        <w:numPr>
          <w:ilvl w:val="1"/>
          <w:numId w:val="17"/>
        </w:numPr>
        <w:spacing w:before="120" w:after="120"/>
        <w:rPr>
          <w:rFonts w:eastAsia="Calibri" w:cs="Times New Roman"/>
          <w:szCs w:val="18"/>
        </w:rPr>
      </w:pPr>
      <w:r w:rsidRPr="002F663C">
        <w:rPr>
          <w:rFonts w:eastAsia="Calibri" w:cs="Times New Roman"/>
          <w:szCs w:val="18"/>
        </w:rPr>
        <w:t>Increased Deficit Makeup Period – Manufacturers now have three years instead of one year to balance their zero-emission vehicle (ZEV) deficits (deficits accrued due to insufficient sales of ZEVs under the rules).</w:t>
      </w:r>
    </w:p>
    <w:p w:rsidR="00C8549F" w:rsidRPr="002F663C" w:rsidP="00B16ACF" w14:paraId="6073B590" w14:textId="77777777">
      <w:pPr>
        <w:numPr>
          <w:ilvl w:val="1"/>
          <w:numId w:val="17"/>
        </w:numPr>
        <w:spacing w:before="120" w:after="120"/>
        <w:rPr>
          <w:rFonts w:eastAsia="Calibri" w:cs="Times New Roman"/>
          <w:szCs w:val="18"/>
        </w:rPr>
      </w:pPr>
      <w:r w:rsidRPr="002F663C">
        <w:rPr>
          <w:rFonts w:eastAsia="Calibri" w:cs="Times New Roman"/>
          <w:szCs w:val="18"/>
        </w:rPr>
        <w:t>New definition for how credits are generated – Manufacturers can now generate a credit based on a vehicle delivered for sale rather than to the ultimate purchaser in Oregon.</w:t>
      </w:r>
    </w:p>
    <w:p w:rsidR="00C8549F" w:rsidRPr="002F663C" w:rsidP="00B16ACF" w14:paraId="52093405" w14:textId="77777777">
      <w:pPr>
        <w:numPr>
          <w:ilvl w:val="1"/>
          <w:numId w:val="17"/>
        </w:numPr>
        <w:spacing w:before="120" w:after="120"/>
        <w:rPr>
          <w:rFonts w:eastAsia="Calibri" w:cs="Times New Roman"/>
          <w:szCs w:val="18"/>
        </w:rPr>
      </w:pPr>
      <w:r w:rsidRPr="002F663C">
        <w:rPr>
          <w:rFonts w:eastAsia="Calibri" w:cs="Times New Roman"/>
          <w:szCs w:val="18"/>
        </w:rPr>
        <w:t>Additional flexibility in 2026 for the cleanest Heavy Heavy-Duty (HHD) Engines - Specific HD Omnibus certified engines would not generate deficits in 2026 under the ACT Rule, easing compliance for manufacturers of the subject heavy heavy-duty internal combustion engine (ICE) trucks</w:t>
      </w:r>
    </w:p>
    <w:p w:rsidR="00C8549F" w:rsidRPr="002F663C" w:rsidP="00B16ACF" w14:paraId="461D946F" w14:textId="77777777">
      <w:pPr>
        <w:numPr>
          <w:ilvl w:val="0"/>
          <w:numId w:val="17"/>
        </w:numPr>
        <w:spacing w:before="120" w:after="120"/>
        <w:rPr>
          <w:rFonts w:eastAsia="Calibri" w:cs="Times New Roman"/>
          <w:szCs w:val="18"/>
        </w:rPr>
      </w:pPr>
      <w:hyperlink r:id="rId14" w:history="1">
        <w:r w:rsidRPr="002F663C">
          <w:rPr>
            <w:rFonts w:eastAsia="Calibri" w:cs="Times New Roman"/>
            <w:b/>
            <w:bCs/>
            <w:color w:val="0000FF"/>
            <w:szCs w:val="18"/>
            <w:u w:val="single"/>
          </w:rPr>
          <w:t>Oregon's Heavy-Duty Engine and Vehicle Omnibus Rule:</w:t>
        </w:r>
      </w:hyperlink>
      <w:r w:rsidRPr="002F663C">
        <w:rPr>
          <w:rFonts w:eastAsia="Calibri" w:cs="Times New Roman"/>
          <w:szCs w:val="18"/>
        </w:rPr>
        <w:t xml:space="preserve"> Frequently referred to as the "Heavy-Duty Low NOx Omnibus Rule," it lowers emission standards for on-road, conventionally fueled, new heavy-duty vehicles and engines, specifically for oxides of nitrogen and fine particulate matter. It will now begin with engine model year 2027. At that time, DEQ will require engines in these vehicles to emit 90% fewer NOx emissions and 50% fewer PM5 emissions compared with 2023 engines.</w:t>
      </w:r>
    </w:p>
    <w:p w:rsidR="00C8549F" w:rsidRPr="002F663C" w:rsidP="00B16ACF" w14:paraId="77D44063" w14:textId="77777777">
      <w:pPr>
        <w:spacing w:before="120" w:after="120"/>
        <w:rPr>
          <w:rFonts w:eastAsia="Calibri" w:cs="Times New Roman"/>
          <w:szCs w:val="18"/>
        </w:rPr>
      </w:pPr>
      <w:r w:rsidRPr="002F663C">
        <w:rPr>
          <w:rFonts w:eastAsia="Calibri" w:cs="Times New Roman"/>
          <w:szCs w:val="18"/>
        </w:rPr>
        <w:t>The permanent rules do not ban the sale of new conventional diesel trucks, nor do they require dealers or businesses to purchase ZEV trucks.</w:t>
      </w:r>
    </w:p>
    <w:p w:rsidR="00C8549F" w:rsidRPr="002F663C" w:rsidP="00B16ACF" w14:paraId="24B6FC8B" w14:textId="77777777">
      <w:pPr>
        <w:spacing w:before="120" w:after="120"/>
        <w:rPr>
          <w:rFonts w:eastAsia="Calibri" w:cs="Times New Roman"/>
          <w:szCs w:val="18"/>
        </w:rPr>
      </w:pPr>
      <w:r w:rsidRPr="002F663C">
        <w:rPr>
          <w:rFonts w:eastAsia="Calibri" w:cs="Times New Roman"/>
          <w:szCs w:val="18"/>
        </w:rPr>
        <w:t xml:space="preserve">In May of this year, DEQ </w:t>
      </w:r>
      <w:hyperlink r:id="rId15" w:history="1">
        <w:r w:rsidRPr="002F663C">
          <w:rPr>
            <w:rFonts w:eastAsia="Calibri" w:cs="Times New Roman"/>
            <w:color w:val="0000FF"/>
            <w:szCs w:val="18"/>
            <w:u w:val="single"/>
          </w:rPr>
          <w:t>announced</w:t>
        </w:r>
      </w:hyperlink>
      <w:r w:rsidRPr="002F663C">
        <w:rPr>
          <w:rFonts w:eastAsia="Calibri" w:cs="Times New Roman"/>
          <w:szCs w:val="18"/>
        </w:rPr>
        <w:t xml:space="preserve"> it will use its enforcement discretion for the ACT Rule. The directive's goal is to provide temporary relief to manufacturers facing challenges in meeting zero-emission vehicle sales targets, and to businesses and fleet owners across the state in need of new conventional and ZEV trucks. It ensures continued availability of internal combustion engine trucks to meet market demands, while maintaining progress toward Oregon's environmental goals. The enforcement discretion does not affect the Heavy-Duty Low NO</w:t>
      </w:r>
      <w:r w:rsidRPr="002F663C">
        <w:rPr>
          <w:rFonts w:eastAsia="Calibri" w:cs="Times New Roman"/>
          <w:szCs w:val="18"/>
        </w:rPr>
        <w:t>x Omnibus Rule.</w:t>
      </w:r>
    </w:p>
    <w:p w:rsidR="00C8549F" w:rsidRPr="002F663C" w:rsidP="00B16ACF" w14:paraId="1B032D9A" w14:textId="77777777">
      <w:pPr>
        <w:spacing w:before="120" w:after="120"/>
        <w:rPr>
          <w:rFonts w:eastAsia="Calibri" w:cs="Times New Roman"/>
          <w:szCs w:val="18"/>
        </w:rPr>
      </w:pPr>
      <w:r w:rsidRPr="002F663C">
        <w:rPr>
          <w:rFonts w:eastAsia="Calibri" w:cs="Times New Roman"/>
          <w:szCs w:val="18"/>
        </w:rPr>
        <w:t xml:space="preserve">Sign up through </w:t>
      </w:r>
      <w:hyperlink r:id="rId16" w:history="1">
        <w:r w:rsidRPr="002F663C">
          <w:rPr>
            <w:rFonts w:eastAsia="Calibri" w:cs="Times New Roman"/>
            <w:color w:val="0000FF"/>
            <w:szCs w:val="18"/>
            <w:u w:val="single"/>
          </w:rPr>
          <w:t>DEQ's GovDelivery system</w:t>
        </w:r>
      </w:hyperlink>
      <w:r w:rsidRPr="002F663C">
        <w:rPr>
          <w:rFonts w:eastAsia="Calibri" w:cs="Times New Roman"/>
          <w:szCs w:val="18"/>
        </w:rPr>
        <w:t xml:space="preserve"> to receive the latest information on the Clean Truck Rules by email.</w:t>
      </w:r>
    </w:p>
    <w:p w:rsidR="006C5A96" w:rsidP="006C5A96" w14:paraId="63F91CE6" w14:textId="77777777">
      <w:pPr>
        <w:jc w:val="center"/>
        <w:rPr>
          <w:b/>
        </w:rPr>
      </w:pPr>
      <w:r w:rsidRPr="003971FF">
        <w:rPr>
          <w:b/>
        </w:rPr>
        <w:t>__________</w:t>
      </w:r>
    </w:p>
    <w:p w:rsidR="004D4D19" w:rsidP="007F38C2" w14:paraId="66D686FC" w14:textId="77777777">
      <w:pPr>
        <w:jc w:val="center"/>
        <w:rPr>
          <w:b/>
        </w:rPr>
      </w:pPr>
    </w:p>
    <w:p w:rsidR="00A1565D" w:rsidP="003971FF" w14:paraId="4F054CCF"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1D626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3C112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6BBB087" w14:textId="77777777">
      <w:r>
        <w:separator/>
      </w:r>
    </w:p>
  </w:footnote>
  <w:footnote w:type="continuationSeparator" w:id="1">
    <w:p w:rsidR="004D3A6A" w:rsidP="00ED54E0" w14:paraId="28CBAB89" w14:textId="77777777">
      <w:r>
        <w:continuationSeparator/>
      </w:r>
    </w:p>
  </w:footnote>
  <w:footnote w:id="2">
    <w:p w:rsidR="007F6EA2" w14:paraId="47944A4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CF5CA8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C68AAB0" w14:textId="77777777">
    <w:pPr>
      <w:pStyle w:val="Header"/>
      <w:pBdr>
        <w:bottom w:val="single" w:sz="4" w:space="1" w:color="auto"/>
      </w:pBdr>
      <w:tabs>
        <w:tab w:val="clear" w:pos="4513"/>
        <w:tab w:val="clear" w:pos="9027"/>
      </w:tabs>
      <w:jc w:val="center"/>
    </w:pPr>
  </w:p>
  <w:p w:rsidR="00DD3DD7" w:rsidRPr="00DD3DD7" w:rsidP="00DD3DD7" w14:paraId="1668FA8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45EF52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BE14B0A" w14:textId="77777777">
    <w:pPr>
      <w:pStyle w:val="Header"/>
      <w:pBdr>
        <w:bottom w:val="single" w:sz="4" w:space="1" w:color="auto"/>
      </w:pBdr>
      <w:tabs>
        <w:tab w:val="clear" w:pos="4513"/>
        <w:tab w:val="clear" w:pos="9027"/>
      </w:tabs>
      <w:jc w:val="center"/>
    </w:pPr>
    <w:bookmarkStart w:id="3" w:name="spsSymbolHeader"/>
    <w:r w:rsidRPr="00DD3DD7">
      <w:t>G/TBT/N/USA/2123/Rev.1/Add.6</w:t>
    </w:r>
    <w:bookmarkEnd w:id="3"/>
  </w:p>
  <w:p w:rsidR="00DD3DD7" w:rsidRPr="00DD3DD7" w:rsidP="00DD3DD7" w14:paraId="3D089FE4" w14:textId="77777777">
    <w:pPr>
      <w:pStyle w:val="Header"/>
      <w:pBdr>
        <w:bottom w:val="single" w:sz="4" w:space="1" w:color="auto"/>
      </w:pBdr>
      <w:tabs>
        <w:tab w:val="clear" w:pos="4513"/>
        <w:tab w:val="clear" w:pos="9027"/>
      </w:tabs>
      <w:jc w:val="center"/>
    </w:pPr>
  </w:p>
  <w:p w:rsidR="00DD3DD7" w:rsidRPr="00DD3DD7" w:rsidP="00DD3DD7" w14:paraId="0EEABEF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EAD4BC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4FB40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C35F85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D857E6A" w14:textId="77777777">
          <w:pPr>
            <w:jc w:val="right"/>
            <w:rPr>
              <w:b/>
              <w:color w:val="FF0000"/>
              <w:szCs w:val="16"/>
            </w:rPr>
          </w:pPr>
          <w:r>
            <w:rPr>
              <w:b/>
              <w:color w:val="FF0000"/>
              <w:szCs w:val="16"/>
            </w:rPr>
            <w:t xml:space="preserve"> </w:t>
          </w:r>
        </w:p>
      </w:tc>
    </w:tr>
    <w:tr w14:paraId="111BD98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DBA2C6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A469701" w14:textId="77777777">
          <w:pPr>
            <w:jc w:val="right"/>
            <w:rPr>
              <w:b/>
              <w:szCs w:val="16"/>
            </w:rPr>
          </w:pPr>
        </w:p>
      </w:tc>
    </w:tr>
    <w:tr w14:paraId="1BF48DF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475EE6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B47F31B" w14:textId="77777777">
          <w:pPr>
            <w:jc w:val="right"/>
            <w:rPr>
              <w:rFonts w:eastAsia="Calibri" w:cs="Times New Roman"/>
              <w:b/>
              <w:szCs w:val="16"/>
            </w:rPr>
          </w:pPr>
          <w:bookmarkStart w:id="4" w:name="bmkSymbols"/>
          <w:r w:rsidRPr="002F663C">
            <w:rPr>
              <w:rFonts w:eastAsia="Calibri" w:cs="Times New Roman"/>
              <w:b/>
              <w:szCs w:val="16"/>
            </w:rPr>
            <w:t>G/TBT/N/USA/2123/Rev.1/Add.6</w:t>
          </w:r>
          <w:bookmarkEnd w:id="4"/>
        </w:p>
        <w:p w:rsidR="00C14444" w:rsidRPr="00C14444" w:rsidP="00C14444" w14:paraId="42463F3B" w14:textId="77777777">
          <w:pPr>
            <w:jc w:val="center"/>
            <w:rPr>
              <w:szCs w:val="16"/>
            </w:rPr>
          </w:pPr>
        </w:p>
      </w:tc>
    </w:tr>
    <w:tr w14:paraId="5E727FE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FF79DF8" w14:textId="77777777"/>
      </w:tc>
      <w:tc>
        <w:tcPr>
          <w:tcW w:w="5448" w:type="dxa"/>
          <w:gridSpan w:val="2"/>
          <w:shd w:val="clear" w:color="auto" w:fill="FFFFFF"/>
          <w:tcMar>
            <w:left w:w="108" w:type="dxa"/>
            <w:right w:w="108" w:type="dxa"/>
          </w:tcMar>
          <w:vAlign w:val="center"/>
        </w:tcPr>
        <w:p w:rsidR="00ED54E0" w:rsidRPr="00182B84" w:rsidP="00425DC5" w14:paraId="2973E705" w14:textId="77777777">
          <w:pPr>
            <w:jc w:val="right"/>
            <w:rPr>
              <w:szCs w:val="16"/>
            </w:rPr>
          </w:pPr>
          <w:bookmarkStart w:id="5" w:name="bmkDate"/>
          <w:r w:rsidRPr="00182B84">
            <w:rPr>
              <w:szCs w:val="16"/>
            </w:rPr>
            <w:t>15 July 2025</w:t>
          </w:r>
          <w:bookmarkEnd w:id="5"/>
        </w:p>
      </w:tc>
    </w:tr>
    <w:tr w14:paraId="0CBD561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9A2DAD9" w14:textId="77777777">
          <w:pPr>
            <w:jc w:val="left"/>
            <w:rPr>
              <w:b/>
            </w:rPr>
          </w:pPr>
          <w:bookmarkStart w:id="6" w:name="bmkSerial"/>
          <w:r>
            <w:rPr>
              <w:b w:val="0"/>
              <w:color w:val="FF0000"/>
            </w:rPr>
            <w:t>(25-4545)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7B2ADA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1F732E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69D339B" w14:textId="77777777">
          <w:pPr>
            <w:jc w:val="left"/>
            <w:rPr>
              <w:sz w:val="14"/>
              <w:szCs w:val="16"/>
            </w:rPr>
          </w:pPr>
          <w:r>
            <w:rPr>
              <w:b/>
            </w:rPr>
            <w:t xml:space="preserve">Committee on Technical </w:t>
          </w:r>
          <w:r>
            <w:rPr>
              <w:b/>
            </w:rPr>
            <w:t>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7D1AD6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36959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27667344">
    <w:abstractNumId w:val="9"/>
  </w:num>
  <w:num w:numId="2" w16cid:durableId="1504396842">
    <w:abstractNumId w:val="7"/>
  </w:num>
  <w:num w:numId="3" w16cid:durableId="815803064">
    <w:abstractNumId w:val="6"/>
  </w:num>
  <w:num w:numId="4" w16cid:durableId="413821265">
    <w:abstractNumId w:val="5"/>
  </w:num>
  <w:num w:numId="5" w16cid:durableId="1751853857">
    <w:abstractNumId w:val="4"/>
  </w:num>
  <w:num w:numId="6" w16cid:durableId="2005889653">
    <w:abstractNumId w:val="12"/>
  </w:num>
  <w:num w:numId="7" w16cid:durableId="91097605">
    <w:abstractNumId w:val="11"/>
  </w:num>
  <w:num w:numId="8" w16cid:durableId="2080514369">
    <w:abstractNumId w:val="10"/>
  </w:num>
  <w:num w:numId="9" w16cid:durableId="1382241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7574025">
    <w:abstractNumId w:val="13"/>
  </w:num>
  <w:num w:numId="11" w16cid:durableId="196167679">
    <w:abstractNumId w:val="8"/>
  </w:num>
  <w:num w:numId="12" w16cid:durableId="389429338">
    <w:abstractNumId w:val="3"/>
  </w:num>
  <w:num w:numId="13" w16cid:durableId="660815525">
    <w:abstractNumId w:val="2"/>
  </w:num>
  <w:num w:numId="14" w16cid:durableId="380129703">
    <w:abstractNumId w:val="1"/>
  </w:num>
  <w:num w:numId="15" w16cid:durableId="1646200541">
    <w:abstractNumId w:val="0"/>
  </w:num>
  <w:num w:numId="16" w16cid:durableId="145872243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2614532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0F7235"/>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5649"/>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549F"/>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0A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2.arb.ca.gov/" TargetMode="External" /><Relationship Id="rId11" Type="http://schemas.openxmlformats.org/officeDocument/2006/relationships/hyperlink" Target="https://ww2.arb.ca.gov/rulemaking/2024/advancedcleantrucks" TargetMode="External" /><Relationship Id="rId12" Type="http://schemas.openxmlformats.org/officeDocument/2006/relationships/hyperlink" Target="https://ww2.arb.ca.gov/our-work/programs/ghg-std-md-hd-eng-veh" TargetMode="External" /><Relationship Id="rId13" Type="http://schemas.openxmlformats.org/officeDocument/2006/relationships/hyperlink" Target="https://www.oregon.gov/deq/aq/Documents/cfpMHDtruckRulesFAQ.pdf" TargetMode="External" /><Relationship Id="rId14" Type="http://schemas.openxmlformats.org/officeDocument/2006/relationships/hyperlink" Target="https://www.oregon.gov/deq/aq/Documents/HDOFAQ.pdf" TargetMode="External" /><Relationship Id="rId15" Type="http://schemas.openxmlformats.org/officeDocument/2006/relationships/hyperlink" Target="https://www.oregon.gov/deq/aq/Documents/aqACTenfDiscDir.pdf" TargetMode="External" /><Relationship Id="rId16" Type="http://schemas.openxmlformats.org/officeDocument/2006/relationships/hyperlink" Target="https://public.govdelivery.com/accounts/ORDEQ/subscriber/new?topic_id=ORDEQ_479"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ormswd2.synergydcs.com/HPRMWebDrawer/RecordView/6332814" TargetMode="External" /><Relationship Id="rId7" Type="http://schemas.openxmlformats.org/officeDocument/2006/relationships/hyperlink" Target="https://members.wto.org/crnattachments/2025/TBT/USA/final_measure/25_04590_00_e.pdf" TargetMode="External" /><Relationship Id="rId8" Type="http://schemas.openxmlformats.org/officeDocument/2006/relationships/hyperlink" Target="https://www.oregon.gov/deq/about-us/eqc/Pages/default.aspx" TargetMode="External" /><Relationship Id="rId9" Type="http://schemas.openxmlformats.org/officeDocument/2006/relationships/hyperlink" Target="https://www.oregon.gov/deq/Pages/index.asp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2025-07-15T08:50:00Z</dcterms:created>
  <dcterms:modified xsi:type="dcterms:W3CDTF">2025-07-15T08:50:00Z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