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6CE62D3" w14:textId="77777777">
      <w:pPr>
        <w:pStyle w:val="Title"/>
        <w:rPr>
          <w:caps w:val="0"/>
          <w:kern w:val="0"/>
        </w:rPr>
      </w:pPr>
      <w:r w:rsidRPr="002F6A28">
        <w:rPr>
          <w:caps w:val="0"/>
          <w:kern w:val="0"/>
        </w:rPr>
        <w:t>NOTIFICATION</w:t>
      </w:r>
    </w:p>
    <w:p w:rsidR="009239F7" w:rsidRPr="002F6A28" w:rsidP="002F6A28" w14:paraId="66B22E36" w14:textId="77777777">
      <w:pPr>
        <w:jc w:val="center"/>
      </w:pPr>
      <w:r w:rsidRPr="002F6A28">
        <w:t>The following notification is being circulated in accordance with Article 10.6</w:t>
      </w:r>
    </w:p>
    <w:p w:rsidR="009239F7" w:rsidRPr="002F6A28" w:rsidP="002F6A28" w14:paraId="5CA3CDA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FDD2667" w14:textId="77777777" w:rsidTr="00DB13FE">
        <w:tblPrEx>
          <w:tblW w:w="5000" w:type="pct"/>
          <w:tblLayout w:type="fixed"/>
          <w:tblLook w:val="0000"/>
        </w:tblPrEx>
        <w:tc>
          <w:tcPr>
            <w:tcW w:w="607" w:type="dxa"/>
            <w:tcBorders>
              <w:top w:val="double" w:sz="4" w:space="0" w:color="auto"/>
            </w:tcBorders>
          </w:tcPr>
          <w:p w:rsidR="00F85C99" w:rsidRPr="002F6A28" w:rsidP="002F6A28" w14:paraId="1316033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E865CFA"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13A9B04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20099E6" w14:textId="77777777" w:rsidTr="00DB13FE">
        <w:tblPrEx>
          <w:tblW w:w="5000" w:type="pct"/>
          <w:tblLayout w:type="fixed"/>
          <w:tblLook w:val="0000"/>
        </w:tblPrEx>
        <w:tc>
          <w:tcPr>
            <w:tcW w:w="607" w:type="dxa"/>
          </w:tcPr>
          <w:p w:rsidR="00F85C99" w:rsidRPr="002F6A28" w:rsidP="002F6A28" w14:paraId="1217329C" w14:textId="77777777">
            <w:pPr>
              <w:spacing w:before="120" w:after="120"/>
              <w:jc w:val="left"/>
            </w:pPr>
            <w:r w:rsidRPr="002F6A28">
              <w:rPr>
                <w:b/>
              </w:rPr>
              <w:t>2.</w:t>
            </w:r>
          </w:p>
        </w:tc>
        <w:tc>
          <w:tcPr>
            <w:tcW w:w="8373" w:type="dxa"/>
          </w:tcPr>
          <w:p w:rsidR="00F85C99" w:rsidRPr="002F6A28" w:rsidP="000C3B6C" w14:paraId="1EFD4172" w14:textId="77777777">
            <w:pPr>
              <w:spacing w:before="120" w:after="120"/>
            </w:pPr>
            <w:r w:rsidRPr="002F6A28">
              <w:rPr>
                <w:b/>
              </w:rPr>
              <w:t>Agency responsible:</w:t>
            </w:r>
            <w:r w:rsidRPr="00C379C8" w:rsidR="00EE3A11">
              <w:t xml:space="preserve"> </w:t>
            </w:r>
          </w:p>
          <w:p w:rsidR="00EE3A11" w:rsidRPr="00C379C8" w:rsidP="000C3B6C" w14:paraId="74C483C9" w14:textId="77777777">
            <w:pPr>
              <w:spacing w:after="120"/>
            </w:pPr>
            <w:r w:rsidRPr="00C379C8">
              <w:t>Department of Innovation, Science and Economic Development</w:t>
            </w:r>
          </w:p>
        </w:tc>
      </w:tr>
      <w:tr w14:paraId="4B204FF5" w14:textId="77777777" w:rsidTr="00DB13FE">
        <w:tblPrEx>
          <w:tblW w:w="5000" w:type="pct"/>
          <w:tblLayout w:type="fixed"/>
          <w:tblLook w:val="0000"/>
        </w:tblPrEx>
        <w:tc>
          <w:tcPr>
            <w:tcW w:w="607" w:type="dxa"/>
          </w:tcPr>
          <w:p w:rsidR="00F85C99" w:rsidRPr="002F6A28" w:rsidP="002F6A28" w14:paraId="5C1CEB56" w14:textId="77777777">
            <w:pPr>
              <w:spacing w:before="120" w:after="120"/>
              <w:jc w:val="left"/>
              <w:rPr>
                <w:b/>
              </w:rPr>
            </w:pPr>
            <w:r w:rsidRPr="002F6A28">
              <w:rPr>
                <w:b/>
              </w:rPr>
              <w:t>3.</w:t>
            </w:r>
          </w:p>
        </w:tc>
        <w:tc>
          <w:tcPr>
            <w:tcW w:w="8373" w:type="dxa"/>
          </w:tcPr>
          <w:p w:rsidR="00F85C99" w:rsidRPr="0058336F" w:rsidP="002F6A28" w14:paraId="5C7D39D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552AC55" w14:textId="77777777" w:rsidTr="00DB13FE">
        <w:tblPrEx>
          <w:tblW w:w="5000" w:type="pct"/>
          <w:tblLayout w:type="fixed"/>
          <w:tblLook w:val="0000"/>
        </w:tblPrEx>
        <w:tc>
          <w:tcPr>
            <w:tcW w:w="607" w:type="dxa"/>
          </w:tcPr>
          <w:p w:rsidR="00F85C99" w:rsidRPr="002F6A28" w:rsidP="002F6A28" w14:paraId="31A850F5" w14:textId="77777777">
            <w:pPr>
              <w:spacing w:before="120" w:after="120"/>
              <w:jc w:val="left"/>
            </w:pPr>
            <w:r w:rsidRPr="002F6A28">
              <w:rPr>
                <w:b/>
              </w:rPr>
              <w:t>4.</w:t>
            </w:r>
          </w:p>
        </w:tc>
        <w:tc>
          <w:tcPr>
            <w:tcW w:w="8373" w:type="dxa"/>
          </w:tcPr>
          <w:p w:rsidR="00F85C99" w:rsidRPr="002F6A28" w:rsidP="002F6A28" w14:paraId="2136908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Radiocommunications (ICS 33.060)</w:t>
            </w:r>
          </w:p>
        </w:tc>
      </w:tr>
      <w:tr w14:paraId="07B4C5E4" w14:textId="77777777" w:rsidTr="00DB13FE">
        <w:tblPrEx>
          <w:tblW w:w="5000" w:type="pct"/>
          <w:tblLayout w:type="fixed"/>
          <w:tblLook w:val="0000"/>
        </w:tblPrEx>
        <w:tc>
          <w:tcPr>
            <w:tcW w:w="607" w:type="dxa"/>
          </w:tcPr>
          <w:p w:rsidR="00F85C99" w:rsidRPr="002F6A28" w:rsidP="002F6A28" w14:paraId="0FAA224E" w14:textId="77777777">
            <w:pPr>
              <w:spacing w:before="120" w:after="120"/>
              <w:jc w:val="left"/>
            </w:pPr>
            <w:r w:rsidRPr="002F6A28">
              <w:rPr>
                <w:b/>
              </w:rPr>
              <w:t>5.</w:t>
            </w:r>
          </w:p>
        </w:tc>
        <w:tc>
          <w:tcPr>
            <w:tcW w:w="8373" w:type="dxa"/>
          </w:tcPr>
          <w:p w:rsidR="00F85C99" w:rsidP="002F6A28" w14:paraId="0CF2D39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Consultation</w:t>
            </w:r>
            <w:r w:rsidRPr="00C379C8" w:rsidR="00EE3A11">
              <w:rPr>
                <w:b/>
                <w:bCs/>
              </w:rPr>
              <w:t xml:space="preserve"> </w:t>
            </w:r>
            <w:r w:rsidRPr="00C379C8" w:rsidR="00EE3A11">
              <w:t>on</w:t>
            </w:r>
            <w:r w:rsidRPr="00C379C8" w:rsidR="00EE3A11">
              <w:rPr>
                <w:b/>
                <w:bCs/>
              </w:rPr>
              <w:t xml:space="preserve"> </w:t>
            </w:r>
            <w:r w:rsidRPr="00C379C8" w:rsidR="00EE3A11">
              <w:t>RSS-288, Issue 2 (9 pages, available in English and French)</w:t>
            </w:r>
          </w:p>
          <w:p w:rsidR="000C3B6C" w:rsidRPr="000C3B6C" w:rsidP="002F6A28" w14:paraId="5AAD209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B68B0" w:rsidRPr="00CE6C29" w:rsidP="002F6A28" w14:paraId="3EC8835F" w14:textId="77777777">
            <w:pPr>
              <w:rPr>
                <w:iCs/>
              </w:rPr>
            </w:pPr>
            <w:hyperlink r:id="rId6" w:tgtFrame="_blank" w:history="1">
              <w:r w:rsidRPr="00CE6C29">
                <w:rPr>
                  <w:iCs/>
                  <w:color w:val="0000FF"/>
                  <w:u w:val="single"/>
                </w:rPr>
                <w:t>https://www.rabc-cccr.ca/ised-radio-standards-specification-rss-288-issue-2-global-maritime-distress-and-safety-system-gmdss/</w:t>
              </w:r>
            </w:hyperlink>
          </w:p>
          <w:p w:rsidR="000B68B0" w:rsidRPr="00CE6C29" w:rsidP="002F6A28" w14:paraId="2D649BAB" w14:textId="77777777">
            <w:pPr>
              <w:spacing w:after="120"/>
              <w:rPr>
                <w:iCs/>
              </w:rPr>
            </w:pPr>
            <w:hyperlink r:id="rId7" w:tgtFrame="_blank" w:history="1">
              <w:r w:rsidRPr="00CE6C29">
                <w:rPr>
                  <w:iCs/>
                  <w:color w:val="0000FF"/>
                  <w:u w:val="single"/>
                </w:rPr>
                <w:t>https://www.rabc-cccr.ca/fr/isde-cahier-des-charges-sur-les-normes-radioelectriques-cnr-288-2e-edition-systeme-mondial-de-detresse-et-de-securite-en-mer-smdsm/</w:t>
              </w:r>
            </w:hyperlink>
          </w:p>
        </w:tc>
      </w:tr>
      <w:tr w14:paraId="41C4DB7B" w14:textId="77777777" w:rsidTr="00DB13FE">
        <w:tblPrEx>
          <w:tblW w:w="5000" w:type="pct"/>
          <w:tblLayout w:type="fixed"/>
          <w:tblLook w:val="0000"/>
        </w:tblPrEx>
        <w:tc>
          <w:tcPr>
            <w:tcW w:w="607" w:type="dxa"/>
          </w:tcPr>
          <w:p w:rsidR="00F85C99" w:rsidRPr="002F6A28" w:rsidP="002F6A28" w14:paraId="3D187C58" w14:textId="77777777">
            <w:pPr>
              <w:spacing w:before="120" w:after="120"/>
              <w:jc w:val="left"/>
              <w:rPr>
                <w:b/>
              </w:rPr>
            </w:pPr>
            <w:r w:rsidRPr="002F6A28">
              <w:rPr>
                <w:b/>
              </w:rPr>
              <w:t>6.</w:t>
            </w:r>
          </w:p>
        </w:tc>
        <w:tc>
          <w:tcPr>
            <w:tcW w:w="8373" w:type="dxa"/>
          </w:tcPr>
          <w:p w:rsidR="00F85C99" w:rsidRPr="002F6A28" w:rsidP="002F6A28" w14:paraId="6F66FE81" w14:textId="77777777">
            <w:pPr>
              <w:spacing w:before="120" w:after="120"/>
              <w:rPr>
                <w:b/>
              </w:rPr>
            </w:pPr>
            <w:r w:rsidRPr="002F6A28">
              <w:rPr>
                <w:b/>
              </w:rPr>
              <w:t>Description of content:</w:t>
            </w:r>
            <w:r w:rsidRPr="00C379C8" w:rsidR="00FE448B">
              <w:t xml:space="preserve"> Notice is hereby given by the Ministry of Innovation, Science and Economic Development Canada has amended the following standard:</w:t>
            </w:r>
          </w:p>
          <w:p w:rsidR="00FE448B" w:rsidRPr="00C379C8" w:rsidP="002F6A28" w14:paraId="5D3E8017" w14:textId="77777777">
            <w:pPr>
              <w:spacing w:before="120" w:after="120"/>
            </w:pPr>
            <w:r w:rsidRPr="00C379C8">
              <w:t>RSS-288, issue 2 – "Global Maritime Distress and Safety System (GMDSS)", sets out the requirements for certification of shipborne radiocommunication equipment which meets the requirements of the Global Maritime Distress and Safety System (GMDSS) in the medium frequency (MF), high frequency (HF), and 9.2-9.5 GHz bands.</w:t>
            </w:r>
          </w:p>
        </w:tc>
      </w:tr>
      <w:tr w14:paraId="249231F1" w14:textId="77777777" w:rsidTr="00DB13FE">
        <w:tblPrEx>
          <w:tblW w:w="5000" w:type="pct"/>
          <w:tblLayout w:type="fixed"/>
          <w:tblLook w:val="0000"/>
        </w:tblPrEx>
        <w:tc>
          <w:tcPr>
            <w:tcW w:w="607" w:type="dxa"/>
          </w:tcPr>
          <w:p w:rsidR="00F85C99" w:rsidRPr="002F6A28" w:rsidP="002F6A28" w14:paraId="3824D174" w14:textId="77777777">
            <w:pPr>
              <w:spacing w:before="120" w:after="120"/>
              <w:jc w:val="left"/>
              <w:rPr>
                <w:b/>
              </w:rPr>
            </w:pPr>
            <w:r w:rsidRPr="002F6A28">
              <w:rPr>
                <w:b/>
              </w:rPr>
              <w:t>7.</w:t>
            </w:r>
          </w:p>
        </w:tc>
        <w:tc>
          <w:tcPr>
            <w:tcW w:w="8373" w:type="dxa"/>
          </w:tcPr>
          <w:p w:rsidR="00F85C99" w:rsidRPr="002F6A28" w:rsidP="002F6A28" w14:paraId="77842BD3" w14:textId="77777777">
            <w:pPr>
              <w:spacing w:before="120" w:after="120"/>
              <w:rPr>
                <w:b/>
              </w:rPr>
            </w:pPr>
            <w:r w:rsidRPr="002F6A28">
              <w:rPr>
                <w:b/>
              </w:rPr>
              <w:t>Objective and rationale, including the nature of urgent problems where applicable:</w:t>
            </w:r>
            <w:r w:rsidRPr="00C379C8" w:rsidR="00EE3A11">
              <w:t xml:space="preserve"> Consultation</w:t>
            </w:r>
          </w:p>
        </w:tc>
      </w:tr>
      <w:tr w14:paraId="659627E5" w14:textId="77777777" w:rsidTr="00DB13FE">
        <w:tblPrEx>
          <w:tblW w:w="5000" w:type="pct"/>
          <w:tblLayout w:type="fixed"/>
          <w:tblLook w:val="0000"/>
        </w:tblPrEx>
        <w:tc>
          <w:tcPr>
            <w:tcW w:w="607" w:type="dxa"/>
          </w:tcPr>
          <w:p w:rsidR="00F85C99" w:rsidRPr="002F6A28" w:rsidP="009E75ED" w14:paraId="1792C0CC" w14:textId="77777777">
            <w:pPr>
              <w:spacing w:before="120" w:after="120"/>
              <w:jc w:val="left"/>
              <w:rPr>
                <w:b/>
              </w:rPr>
            </w:pPr>
            <w:r w:rsidRPr="002F6A28">
              <w:rPr>
                <w:b/>
              </w:rPr>
              <w:t>8.</w:t>
            </w:r>
          </w:p>
        </w:tc>
        <w:tc>
          <w:tcPr>
            <w:tcW w:w="8373" w:type="dxa"/>
          </w:tcPr>
          <w:p w:rsidR="000C3B6C" w:rsidRPr="00EC00D2" w:rsidP="007F13E8" w14:paraId="73FB0834" w14:textId="77777777">
            <w:pPr>
              <w:spacing w:before="120" w:after="120"/>
              <w:rPr>
                <w:bCs/>
              </w:rPr>
            </w:pPr>
            <w:r w:rsidRPr="002F6A28">
              <w:rPr>
                <w:b/>
              </w:rPr>
              <w:t>Relevant documents:</w:t>
            </w:r>
            <w:r w:rsidRPr="002F6A28" w:rsidR="00EE3A11">
              <w:t xml:space="preserve"> </w:t>
            </w:r>
          </w:p>
          <w:p w:rsidR="00EE3A11" w:rsidRPr="002F6A28" w:rsidP="007F13E8" w14:paraId="0076B8A4" w14:textId="77777777">
            <w:pPr>
              <w:spacing w:before="120" w:after="120"/>
            </w:pPr>
            <w:r w:rsidRPr="002F6A28">
              <w:t>Not Applicable</w:t>
            </w:r>
          </w:p>
        </w:tc>
      </w:tr>
      <w:tr w14:paraId="255AD9F1" w14:textId="77777777" w:rsidTr="00DB13FE">
        <w:tblPrEx>
          <w:tblW w:w="5000" w:type="pct"/>
          <w:tblLayout w:type="fixed"/>
          <w:tblLook w:val="0000"/>
        </w:tblPrEx>
        <w:tc>
          <w:tcPr>
            <w:tcW w:w="607" w:type="dxa"/>
          </w:tcPr>
          <w:p w:rsidR="00EE3A11" w:rsidRPr="002F6A28" w:rsidP="002F6A28" w14:paraId="4C855E80" w14:textId="77777777">
            <w:pPr>
              <w:spacing w:before="120" w:after="120"/>
              <w:jc w:val="left"/>
              <w:rPr>
                <w:b/>
              </w:rPr>
            </w:pPr>
            <w:r w:rsidRPr="002F6A28">
              <w:rPr>
                <w:b/>
              </w:rPr>
              <w:t>9.</w:t>
            </w:r>
          </w:p>
        </w:tc>
        <w:tc>
          <w:tcPr>
            <w:tcW w:w="8373" w:type="dxa"/>
          </w:tcPr>
          <w:p w:rsidR="00EE3A11" w:rsidRPr="002F6A28" w:rsidP="008953C4" w14:paraId="33871F6E" w14:textId="77777777">
            <w:pPr>
              <w:spacing w:before="120" w:after="120"/>
            </w:pPr>
            <w:r w:rsidRPr="002F6A28">
              <w:rPr>
                <w:b/>
              </w:rPr>
              <w:t>Proposed date of adoption:</w:t>
            </w:r>
            <w:r w:rsidRPr="00C379C8">
              <w:t xml:space="preserve"> Not Applicable</w:t>
            </w:r>
          </w:p>
          <w:p w:rsidR="00EE3A11" w:rsidRPr="002F6A28" w:rsidP="008953C4" w14:paraId="61CD8B03" w14:textId="77777777">
            <w:pPr>
              <w:spacing w:after="120"/>
            </w:pPr>
            <w:r w:rsidRPr="002F6A28">
              <w:rPr>
                <w:b/>
              </w:rPr>
              <w:t>Proposed date of entry into force:</w:t>
            </w:r>
            <w:r w:rsidRPr="00C379C8">
              <w:t xml:space="preserve"> Not Applicable</w:t>
            </w:r>
          </w:p>
        </w:tc>
      </w:tr>
      <w:tr w14:paraId="05AEB4A9" w14:textId="77777777" w:rsidTr="00DB13FE">
        <w:tblPrEx>
          <w:tblW w:w="5000" w:type="pct"/>
          <w:tblLayout w:type="fixed"/>
          <w:tblLook w:val="0000"/>
        </w:tblPrEx>
        <w:tc>
          <w:tcPr>
            <w:tcW w:w="607" w:type="dxa"/>
            <w:tcBorders>
              <w:bottom w:val="double" w:sz="4" w:space="0" w:color="auto"/>
            </w:tcBorders>
          </w:tcPr>
          <w:p w:rsidR="00F85C99" w:rsidRPr="002F6A28" w:rsidP="002F6A28" w14:paraId="2967C2F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CAEBA4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62DBD2B" w14:textId="77777777">
            <w:pPr>
              <w:spacing w:before="120" w:after="120"/>
              <w:rPr>
                <w:bCs/>
              </w:rPr>
            </w:pPr>
            <w:r w:rsidRPr="002F6A28">
              <w:rPr>
                <w:b/>
              </w:rPr>
              <w:t>Final date for comments:</w:t>
            </w:r>
            <w:r w:rsidRPr="00C379C8" w:rsidR="00EE3A11">
              <w:t xml:space="preserve"> 18 March 2026</w:t>
            </w:r>
          </w:p>
          <w:p w:rsidR="000C3B6C" w:rsidRPr="00E3324D" w:rsidP="000C3B6C" w14:paraId="43BEE00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CA467D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A30AF60" w14:textId="77777777">
            <w:r w:rsidRPr="00CE6C29">
              <w:t>Canada's Notification Authority and Enquiry Point</w:t>
            </w:r>
          </w:p>
          <w:p w:rsidR="00CE6C29" w:rsidRPr="00CE6C29" w:rsidP="000C3B6C" w14:paraId="58C4AA8C" w14:textId="77777777">
            <w:r w:rsidRPr="00CE6C29">
              <w:t>Technical Barriers and Regulations Division</w:t>
            </w:r>
          </w:p>
          <w:p w:rsidR="00CE6C29" w:rsidRPr="00CE6C29" w:rsidP="000C3B6C" w14:paraId="0BCFB14D" w14:textId="77777777">
            <w:r w:rsidRPr="00CE6C29">
              <w:t>Global Affairs Canada</w:t>
            </w:r>
          </w:p>
          <w:p w:rsidR="00CE6C29" w:rsidRPr="00CE6C29" w:rsidP="000C3B6C" w14:paraId="39D194CA" w14:textId="77777777">
            <w:r w:rsidRPr="00CE6C29">
              <w:t>111 Sussex Drive</w:t>
            </w:r>
          </w:p>
          <w:p w:rsidR="00CE6C29" w:rsidRPr="00CE6C29" w:rsidP="000C3B6C" w14:paraId="3845DD9A" w14:textId="77777777">
            <w:r w:rsidRPr="00CE6C29">
              <w:t>Ottawa, Ontario, K1A 0G2</w:t>
            </w:r>
          </w:p>
          <w:p w:rsidR="00CE6C29" w:rsidRPr="00B47197" w:rsidP="000C3B6C" w14:paraId="6B533D13" w14:textId="77777777">
            <w:pPr>
              <w:rPr>
                <w:lang w:val="es-ES_tradnl"/>
              </w:rPr>
            </w:pPr>
            <w:r w:rsidRPr="00B47197">
              <w:rPr>
                <w:lang w:val="es-ES_tradnl"/>
              </w:rPr>
              <w:t>Canada</w:t>
            </w:r>
          </w:p>
          <w:p w:rsidR="00CE6C29" w:rsidRPr="00B47197" w:rsidP="000C3B6C" w14:paraId="735B03D3" w14:textId="77777777">
            <w:pPr>
              <w:spacing w:after="120"/>
              <w:rPr>
                <w:lang w:val="es-ES_tradnl"/>
              </w:rPr>
            </w:pPr>
            <w:r w:rsidRPr="00B47197">
              <w:rPr>
                <w:lang w:val="es-ES_tradnl"/>
              </w:rPr>
              <w:t xml:space="preserve">Email: </w:t>
            </w:r>
            <w:hyperlink r:id="rId8" w:history="1">
              <w:r w:rsidRPr="00B47197">
                <w:rPr>
                  <w:color w:val="0000FF"/>
                  <w:u w:val="single"/>
                  <w:lang w:val="es-ES_tradnl"/>
                </w:rPr>
                <w:t>enquirypoint@international.gc.ca</w:t>
              </w:r>
            </w:hyperlink>
          </w:p>
        </w:tc>
      </w:tr>
    </w:tbl>
    <w:p w:rsidR="00EE3A11" w:rsidRPr="00B47197" w:rsidP="00887259" w14:paraId="1A556661" w14:textId="77777777">
      <w:pPr>
        <w:jc w:val="center"/>
        <w:rPr>
          <w:lang w:val="es-ES_tradnl"/>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658A5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5947E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A72B69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7A5471" w14:textId="77777777">
    <w:pPr>
      <w:pStyle w:val="Header"/>
      <w:pBdr>
        <w:bottom w:val="single" w:sz="4" w:space="1" w:color="auto"/>
      </w:pBdr>
      <w:tabs>
        <w:tab w:val="clear" w:pos="4513"/>
        <w:tab w:val="clear" w:pos="9027"/>
      </w:tabs>
      <w:jc w:val="center"/>
    </w:pPr>
    <w:r w:rsidRPr="002F6A28">
      <w:t>tbtSymbol</w:t>
    </w:r>
  </w:p>
  <w:p w:rsidR="009239F7" w:rsidRPr="002F6A28" w:rsidP="009239F7" w14:paraId="6D063237" w14:textId="77777777">
    <w:pPr>
      <w:pStyle w:val="Header"/>
      <w:pBdr>
        <w:bottom w:val="single" w:sz="4" w:space="1" w:color="auto"/>
      </w:pBdr>
      <w:tabs>
        <w:tab w:val="clear" w:pos="4513"/>
        <w:tab w:val="clear" w:pos="9027"/>
      </w:tabs>
      <w:jc w:val="center"/>
    </w:pPr>
  </w:p>
  <w:p w:rsidR="009239F7" w:rsidRPr="002F6A28" w:rsidP="009239F7" w14:paraId="21C1468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EBBFE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CA2542" w14:textId="77777777">
    <w:pPr>
      <w:pStyle w:val="Header"/>
      <w:pBdr>
        <w:bottom w:val="single" w:sz="4" w:space="1" w:color="auto"/>
      </w:pBdr>
      <w:tabs>
        <w:tab w:val="clear" w:pos="4513"/>
        <w:tab w:val="clear" w:pos="9027"/>
      </w:tabs>
      <w:jc w:val="center"/>
    </w:pPr>
    <w:bookmarkStart w:id="0" w:name="spsSymbolHeader"/>
    <w:r w:rsidRPr="002F6A28">
      <w:t>G/TBT/N/CAN/763</w:t>
    </w:r>
    <w:bookmarkEnd w:id="0"/>
  </w:p>
  <w:p w:rsidR="009239F7" w:rsidRPr="002F6A28" w:rsidP="009239F7" w14:paraId="6C0429CB" w14:textId="77777777">
    <w:pPr>
      <w:pStyle w:val="Header"/>
      <w:pBdr>
        <w:bottom w:val="single" w:sz="4" w:space="1" w:color="auto"/>
      </w:pBdr>
      <w:tabs>
        <w:tab w:val="clear" w:pos="4513"/>
        <w:tab w:val="clear" w:pos="9027"/>
      </w:tabs>
      <w:jc w:val="center"/>
    </w:pPr>
  </w:p>
  <w:p w:rsidR="009239F7" w:rsidRPr="002F6A28" w:rsidP="009239F7" w14:paraId="76C4424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22EE55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DF28D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006C7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44E31F3" w14:textId="77777777">
          <w:pPr>
            <w:jc w:val="right"/>
            <w:rPr>
              <w:b/>
              <w:color w:val="FF0000"/>
              <w:szCs w:val="16"/>
            </w:rPr>
          </w:pPr>
        </w:p>
      </w:tc>
    </w:tr>
    <w:bookmarkEnd w:id="1"/>
    <w:tr w14:paraId="0724315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A2FB49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32F42D8" w14:textId="77777777">
          <w:pPr>
            <w:jc w:val="right"/>
            <w:rPr>
              <w:b/>
              <w:szCs w:val="16"/>
            </w:rPr>
          </w:pPr>
        </w:p>
      </w:tc>
    </w:tr>
    <w:tr w14:paraId="416CDC8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85740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C1FF53" w14:textId="77777777">
          <w:pPr>
            <w:jc w:val="right"/>
            <w:rPr>
              <w:b/>
              <w:szCs w:val="16"/>
            </w:rPr>
          </w:pPr>
          <w:bookmarkStart w:id="2" w:name="bmkSymbols"/>
          <w:r w:rsidRPr="002F6A28">
            <w:rPr>
              <w:b/>
              <w:szCs w:val="16"/>
            </w:rPr>
            <w:t>G/TBT/N/CAN/763</w:t>
          </w:r>
          <w:bookmarkEnd w:id="2"/>
        </w:p>
      </w:tc>
    </w:tr>
    <w:tr w14:paraId="1E395FF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8543A67" w14:textId="77777777"/>
      </w:tc>
      <w:tc>
        <w:tcPr>
          <w:tcW w:w="5448" w:type="dxa"/>
          <w:gridSpan w:val="2"/>
          <w:shd w:val="clear" w:color="auto" w:fill="FFFFFF"/>
          <w:tcMar>
            <w:left w:w="108" w:type="dxa"/>
            <w:right w:w="108" w:type="dxa"/>
          </w:tcMar>
          <w:vAlign w:val="center"/>
        </w:tcPr>
        <w:p w:rsidR="00ED54E0" w:rsidRPr="009239F7" w:rsidP="00B801E9" w14:paraId="2251265C" w14:textId="77777777">
          <w:pPr>
            <w:jc w:val="right"/>
            <w:rPr>
              <w:szCs w:val="16"/>
            </w:rPr>
          </w:pPr>
          <w:bookmarkStart w:id="3" w:name="spsDateDistribution"/>
          <w:bookmarkStart w:id="4" w:name="bmkDate"/>
          <w:r w:rsidRPr="009239F7">
            <w:rPr>
              <w:szCs w:val="16"/>
            </w:rPr>
            <w:t>22 December 2025</w:t>
          </w:r>
          <w:bookmarkEnd w:id="3"/>
          <w:bookmarkEnd w:id="4"/>
        </w:p>
      </w:tc>
    </w:tr>
    <w:tr w14:paraId="52256B1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A22E6E3" w14:textId="77777777">
          <w:pPr>
            <w:jc w:val="left"/>
            <w:rPr>
              <w:b/>
            </w:rPr>
          </w:pPr>
          <w:bookmarkStart w:id="5" w:name="bmkSerial"/>
          <w:r>
            <w:rPr>
              <w:rFonts w:ascii="Verdana" w:eastAsia="Verdana" w:hAnsi="Verdana" w:cs="Verdana"/>
              <w:b w:val="0"/>
              <w:color w:val="FF0000"/>
              <w:sz w:val="18"/>
            </w:rPr>
            <w:t>(25-8813)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80064B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78B241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089652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FAA4A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2FF527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6848056">
    <w:abstractNumId w:val="9"/>
  </w:num>
  <w:num w:numId="2" w16cid:durableId="1852799693">
    <w:abstractNumId w:val="7"/>
  </w:num>
  <w:num w:numId="3" w16cid:durableId="1184977097">
    <w:abstractNumId w:val="6"/>
  </w:num>
  <w:num w:numId="4" w16cid:durableId="930623470">
    <w:abstractNumId w:val="5"/>
  </w:num>
  <w:num w:numId="5" w16cid:durableId="689377688">
    <w:abstractNumId w:val="4"/>
  </w:num>
  <w:num w:numId="6" w16cid:durableId="1393696563">
    <w:abstractNumId w:val="12"/>
  </w:num>
  <w:num w:numId="7" w16cid:durableId="1730108462">
    <w:abstractNumId w:val="11"/>
  </w:num>
  <w:num w:numId="8" w16cid:durableId="861432666">
    <w:abstractNumId w:val="10"/>
  </w:num>
  <w:num w:numId="9" w16cid:durableId="1754472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129787">
    <w:abstractNumId w:val="13"/>
  </w:num>
  <w:num w:numId="11" w16cid:durableId="2010254822">
    <w:abstractNumId w:val="8"/>
  </w:num>
  <w:num w:numId="12" w16cid:durableId="1591499742">
    <w:abstractNumId w:val="3"/>
  </w:num>
  <w:num w:numId="13" w16cid:durableId="217477995">
    <w:abstractNumId w:val="2"/>
  </w:num>
  <w:num w:numId="14" w16cid:durableId="1359545932">
    <w:abstractNumId w:val="1"/>
  </w:num>
  <w:num w:numId="15" w16cid:durableId="84113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68B0"/>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4264"/>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47197"/>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37090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rabc-cccr.ca/ised-radio-standards-specification-rss-288-issue-2-global-maritime-distress-and-safety-system-gmdss/" TargetMode="External" /><Relationship Id="rId7" Type="http://schemas.openxmlformats.org/officeDocument/2006/relationships/hyperlink" Target="https://www.rabc-cccr.ca/fr/isde-cahier-des-charges-sur-les-normes-radioelectriques-cnr-288-2e-edition-systeme-mondial-de-detresse-et-de-securite-en-mer-smdsm/" TargetMode="External" /><Relationship Id="rId8" Type="http://schemas.openxmlformats.org/officeDocument/2006/relationships/hyperlink" Target="mailto:enquirypoint@international.gc.c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7AF4C4C-BF20-416B-BD2B-DBE894E6588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2025-12-22T13:40:00Z</dcterms:created>
  <dcterms:modified xsi:type="dcterms:W3CDTF">2025-12-22T13:40:00Z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