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D6FC33F" w14:textId="77777777">
      <w:pPr>
        <w:pStyle w:val="Title"/>
        <w:rPr>
          <w:caps w:val="0"/>
          <w:kern w:val="0"/>
        </w:rPr>
      </w:pPr>
      <w:r w:rsidRPr="002F6A28">
        <w:rPr>
          <w:caps w:val="0"/>
          <w:kern w:val="0"/>
        </w:rPr>
        <w:t>NOTIFICATION</w:t>
      </w:r>
    </w:p>
    <w:p w:rsidR="009239F7" w:rsidRPr="002F6A28" w:rsidP="002F6A28" w14:paraId="73A22B9D" w14:textId="77777777">
      <w:pPr>
        <w:jc w:val="center"/>
      </w:pPr>
      <w:r w:rsidRPr="002F6A28">
        <w:t>The following notification is being circulated in accordance with Article 10.6</w:t>
      </w:r>
    </w:p>
    <w:p w:rsidR="009239F7" w:rsidRPr="002F6A28" w:rsidP="002F6A28" w14:paraId="2F701D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0532D2B" w14:textId="77777777" w:rsidTr="00DB13FE">
        <w:tblPrEx>
          <w:tblW w:w="5000" w:type="pct"/>
          <w:tblLayout w:type="fixed"/>
          <w:tblLook w:val="0000"/>
        </w:tblPrEx>
        <w:tc>
          <w:tcPr>
            <w:tcW w:w="607" w:type="dxa"/>
            <w:tcBorders>
              <w:top w:val="double" w:sz="4" w:space="0" w:color="auto"/>
            </w:tcBorders>
          </w:tcPr>
          <w:p w:rsidR="00F85C99" w:rsidRPr="002F6A28" w:rsidP="002F6A28" w14:paraId="7B1ED36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A1D8C2" w14:textId="77777777">
            <w:pPr>
              <w:spacing w:before="120" w:after="120"/>
            </w:pPr>
            <w:r w:rsidRPr="002F6A28">
              <w:rPr>
                <w:b/>
              </w:rPr>
              <w:t>Notifying Member:</w:t>
            </w:r>
            <w:r w:rsidRPr="00C92678" w:rsidR="00EE3A11">
              <w:t xml:space="preserve"> </w:t>
            </w:r>
            <w:r w:rsidRPr="00C92678" w:rsidR="00EE3A11">
              <w:rPr>
                <w:u w:val="single"/>
              </w:rPr>
              <w:t>LITHUANIA</w:t>
            </w:r>
          </w:p>
          <w:p w:rsidR="00F85C99" w:rsidRPr="002F6A28" w:rsidP="002F6A28" w14:paraId="2405748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9994431" w14:textId="77777777" w:rsidTr="00DB13FE">
        <w:tblPrEx>
          <w:tblW w:w="5000" w:type="pct"/>
          <w:tblLayout w:type="fixed"/>
          <w:tblLook w:val="0000"/>
        </w:tblPrEx>
        <w:tc>
          <w:tcPr>
            <w:tcW w:w="607" w:type="dxa"/>
          </w:tcPr>
          <w:p w:rsidR="00F85C99" w:rsidRPr="002F6A28" w:rsidP="002F6A28" w14:paraId="11F875DC" w14:textId="77777777">
            <w:pPr>
              <w:spacing w:before="120" w:after="120"/>
              <w:jc w:val="left"/>
            </w:pPr>
            <w:r w:rsidRPr="002F6A28">
              <w:rPr>
                <w:b/>
              </w:rPr>
              <w:t>2.</w:t>
            </w:r>
          </w:p>
        </w:tc>
        <w:tc>
          <w:tcPr>
            <w:tcW w:w="8373" w:type="dxa"/>
          </w:tcPr>
          <w:p w:rsidR="00F85C99" w:rsidRPr="002F6A28" w:rsidP="000C3B6C" w14:paraId="03CE24FC" w14:textId="77777777">
            <w:pPr>
              <w:spacing w:before="120" w:after="120"/>
            </w:pPr>
            <w:r w:rsidRPr="002F6A28">
              <w:rPr>
                <w:b/>
              </w:rPr>
              <w:t>Agency responsible:</w:t>
            </w:r>
            <w:r w:rsidRPr="00C379C8" w:rsidR="00EE3A11">
              <w:t xml:space="preserve"> </w:t>
            </w:r>
          </w:p>
          <w:p w:rsidR="00EE3A11" w:rsidRPr="00C379C8" w:rsidP="000C3B6C" w14:paraId="166D91E6" w14:textId="77777777">
            <w:r w:rsidRPr="00C379C8">
              <w:t>Ministry of Health of the Republic of Lithuania</w:t>
            </w:r>
          </w:p>
          <w:p w:rsidR="00EE3A11" w:rsidRPr="00A52603" w:rsidP="000C3B6C" w14:paraId="0482F2FD" w14:textId="77777777">
            <w:pPr>
              <w:rPr>
                <w:lang w:val="fr-FR"/>
              </w:rPr>
            </w:pPr>
            <w:r w:rsidRPr="00A52603">
              <w:rPr>
                <w:lang w:val="fr-FR"/>
              </w:rPr>
              <w:t>Vilniaus str. 33, LT-01402 Vilnius, Lithuania,</w:t>
            </w:r>
          </w:p>
          <w:p w:rsidR="00EE3A11" w:rsidRPr="00C379C8" w:rsidP="000C3B6C" w14:paraId="2EB0960E" w14:textId="77777777">
            <w:r w:rsidRPr="00C379C8">
              <w:t>Tel. +370 800 66 004,</w:t>
            </w:r>
          </w:p>
          <w:p w:rsidR="00EE3A11" w:rsidRPr="00C379C8" w:rsidP="000C3B6C" w14:paraId="47796152" w14:textId="77777777">
            <w:r w:rsidRPr="00C379C8">
              <w:t xml:space="preserve">E-mail </w:t>
            </w:r>
            <w:hyperlink r:id="rId6" w:history="1">
              <w:r w:rsidRPr="00C379C8">
                <w:rPr>
                  <w:color w:val="0000FF"/>
                  <w:u w:val="single"/>
                </w:rPr>
                <w:t>ministerija@sam.lt</w:t>
              </w:r>
            </w:hyperlink>
          </w:p>
          <w:p w:rsidR="00EE3A11" w:rsidRPr="00C379C8" w:rsidP="000C3B6C" w14:paraId="169768B9" w14:textId="77777777">
            <w:pPr>
              <w:spacing w:after="120"/>
            </w:pPr>
            <w:hyperlink r:id="rId7" w:tgtFrame="_blank" w:history="1">
              <w:r w:rsidRPr="00C379C8">
                <w:rPr>
                  <w:color w:val="0000FF"/>
                  <w:u w:val="single"/>
                </w:rPr>
                <w:t>http://sam.lrv.lt/</w:t>
              </w:r>
            </w:hyperlink>
          </w:p>
        </w:tc>
      </w:tr>
      <w:tr w14:paraId="4245D4FE" w14:textId="77777777" w:rsidTr="00DB13FE">
        <w:tblPrEx>
          <w:tblW w:w="5000" w:type="pct"/>
          <w:tblLayout w:type="fixed"/>
          <w:tblLook w:val="0000"/>
        </w:tblPrEx>
        <w:tc>
          <w:tcPr>
            <w:tcW w:w="607" w:type="dxa"/>
          </w:tcPr>
          <w:p w:rsidR="00F85C99" w:rsidRPr="002F6A28" w:rsidP="002F6A28" w14:paraId="17D9F47A" w14:textId="77777777">
            <w:pPr>
              <w:spacing w:before="120" w:after="120"/>
              <w:jc w:val="left"/>
              <w:rPr>
                <w:b/>
              </w:rPr>
            </w:pPr>
            <w:r w:rsidRPr="002F6A28">
              <w:rPr>
                <w:b/>
              </w:rPr>
              <w:t>3.</w:t>
            </w:r>
          </w:p>
        </w:tc>
        <w:tc>
          <w:tcPr>
            <w:tcW w:w="8373" w:type="dxa"/>
          </w:tcPr>
          <w:p w:rsidR="00F85C99" w:rsidRPr="0058336F" w:rsidP="002F6A28" w14:paraId="1F84BCA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F49BD4F" w14:textId="77777777" w:rsidTr="00DB13FE">
        <w:tblPrEx>
          <w:tblW w:w="5000" w:type="pct"/>
          <w:tblLayout w:type="fixed"/>
          <w:tblLook w:val="0000"/>
        </w:tblPrEx>
        <w:tc>
          <w:tcPr>
            <w:tcW w:w="607" w:type="dxa"/>
          </w:tcPr>
          <w:p w:rsidR="00F85C99" w:rsidRPr="002F6A28" w:rsidP="002F6A28" w14:paraId="0C08DFF4" w14:textId="77777777">
            <w:pPr>
              <w:spacing w:before="120" w:after="120"/>
              <w:jc w:val="left"/>
            </w:pPr>
            <w:r w:rsidRPr="002F6A28">
              <w:rPr>
                <w:b/>
              </w:rPr>
              <w:t>4.</w:t>
            </w:r>
          </w:p>
        </w:tc>
        <w:tc>
          <w:tcPr>
            <w:tcW w:w="8373" w:type="dxa"/>
          </w:tcPr>
          <w:p w:rsidR="00F85C99" w:rsidRPr="002F6A28" w:rsidP="002F6A28" w14:paraId="4B8458A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Tobacco, tobacco products and related equipment (ICS code(s): 65.160)</w:t>
            </w:r>
          </w:p>
        </w:tc>
      </w:tr>
      <w:tr w14:paraId="6113FE51" w14:textId="77777777" w:rsidTr="00DB13FE">
        <w:tblPrEx>
          <w:tblW w:w="5000" w:type="pct"/>
          <w:tblLayout w:type="fixed"/>
          <w:tblLook w:val="0000"/>
        </w:tblPrEx>
        <w:tc>
          <w:tcPr>
            <w:tcW w:w="607" w:type="dxa"/>
          </w:tcPr>
          <w:p w:rsidR="00F85C99" w:rsidRPr="002F6A28" w:rsidP="002F6A28" w14:paraId="3AF053D8" w14:textId="77777777">
            <w:pPr>
              <w:spacing w:before="120" w:after="120"/>
              <w:jc w:val="left"/>
            </w:pPr>
            <w:r w:rsidRPr="002F6A28">
              <w:rPr>
                <w:b/>
              </w:rPr>
              <w:t>5.</w:t>
            </w:r>
          </w:p>
        </w:tc>
        <w:tc>
          <w:tcPr>
            <w:tcW w:w="8373" w:type="dxa"/>
          </w:tcPr>
          <w:p w:rsidR="00F85C99" w:rsidP="002F6A28" w14:paraId="30CD5EA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Law on Control of Tobacco, Tobacco Products and Related Products of the Republic of Lithuania on amendment of Article 85, 9, 93, 94, 99, 910, 911, 17 and 26 No. XVP-447(3), 4 pages, Lithuanian (hereinafter – Draft Law).</w:t>
            </w:r>
          </w:p>
          <w:p w:rsidR="000C3B6C" w:rsidRPr="000C3B6C" w:rsidP="002F6A28" w14:paraId="51B44C8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B69AA" w:rsidRPr="00CE6C29" w:rsidP="002F6A28" w14:paraId="0CE8FBE3"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https://members.wto.org/crnattachments/2025/TBT/LTU/25_09171_00_e.pdf</w:t>
              </w:r>
            </w:hyperlink>
          </w:p>
        </w:tc>
      </w:tr>
      <w:tr w14:paraId="71A1C591" w14:textId="77777777" w:rsidTr="00DB13FE">
        <w:tblPrEx>
          <w:tblW w:w="5000" w:type="pct"/>
          <w:tblLayout w:type="fixed"/>
          <w:tblLook w:val="0000"/>
        </w:tblPrEx>
        <w:tc>
          <w:tcPr>
            <w:tcW w:w="607" w:type="dxa"/>
          </w:tcPr>
          <w:p w:rsidR="00F85C99" w:rsidRPr="002F6A28" w:rsidP="002F6A28" w14:paraId="571054DF" w14:textId="77777777">
            <w:pPr>
              <w:spacing w:before="120" w:after="120"/>
              <w:jc w:val="left"/>
              <w:rPr>
                <w:b/>
              </w:rPr>
            </w:pPr>
            <w:r w:rsidRPr="002F6A28">
              <w:rPr>
                <w:b/>
              </w:rPr>
              <w:t>6.</w:t>
            </w:r>
          </w:p>
        </w:tc>
        <w:tc>
          <w:tcPr>
            <w:tcW w:w="8373" w:type="dxa"/>
          </w:tcPr>
          <w:p w:rsidR="00F85C99" w:rsidRPr="002F6A28" w:rsidP="002F6A28" w14:paraId="2894DAFC" w14:textId="77777777">
            <w:pPr>
              <w:spacing w:before="120" w:after="120"/>
              <w:rPr>
                <w:b/>
              </w:rPr>
            </w:pPr>
            <w:r w:rsidRPr="002F6A28">
              <w:rPr>
                <w:b/>
              </w:rPr>
              <w:t>Description of content:</w:t>
            </w:r>
            <w:r w:rsidRPr="00C379C8" w:rsidR="00FE448B">
              <w:t xml:space="preserve"> The Draft Law introduces a requirement to display the contact details of the national smoking-cessation telephone line (hereinafter – the Quitline) on relevant tobacco product packaging, electronic cigarette leaflets, and in retail sales areas. It also clarifies the administrative procedures for evaluating tobacco product notifications submitted through the EU-</w:t>
            </w:r>
            <w:r w:rsidRPr="00C379C8" w:rsidR="00FE448B">
              <w:t>CEG</w:t>
            </w:r>
            <w:r w:rsidRPr="00C379C8" w:rsidR="00FE448B">
              <w:t xml:space="preserve"> portal, introduces state fees for these services, and sets standardized timelines for evaluation and market placement. Overall, the goal is to expand the visibility and use of free smoking-cessation support services, enhance public awareness of available assistance, and strengthen regulatory oversight. By improving access to these services, the proposed measures are expected to increase the effectiveness of smoking-cessation efforts and contribute to reducing nicotine dependence, along with the broader health, social, and economic harms associated with tobacco use. </w:t>
            </w:r>
          </w:p>
        </w:tc>
      </w:tr>
      <w:tr w14:paraId="5D0F342E" w14:textId="77777777" w:rsidTr="00DB13FE">
        <w:tblPrEx>
          <w:tblW w:w="5000" w:type="pct"/>
          <w:tblLayout w:type="fixed"/>
          <w:tblLook w:val="0000"/>
        </w:tblPrEx>
        <w:tc>
          <w:tcPr>
            <w:tcW w:w="607" w:type="dxa"/>
          </w:tcPr>
          <w:p w:rsidR="00F85C99" w:rsidRPr="002F6A28" w:rsidP="00A52603" w14:paraId="66254B94" w14:textId="77777777">
            <w:pPr>
              <w:keepNext/>
              <w:keepLines/>
              <w:spacing w:before="120" w:after="120"/>
              <w:jc w:val="left"/>
              <w:rPr>
                <w:b/>
              </w:rPr>
            </w:pPr>
            <w:r w:rsidRPr="002F6A28">
              <w:rPr>
                <w:b/>
              </w:rPr>
              <w:t>7.</w:t>
            </w:r>
          </w:p>
        </w:tc>
        <w:tc>
          <w:tcPr>
            <w:tcW w:w="8373" w:type="dxa"/>
          </w:tcPr>
          <w:p w:rsidR="00F85C99" w:rsidRPr="002F6A28" w:rsidP="00A52603" w14:paraId="3FD14901" w14:textId="77777777">
            <w:pPr>
              <w:keepNext/>
              <w:keepLines/>
              <w:spacing w:before="120" w:after="120"/>
              <w:rPr>
                <w:b/>
              </w:rPr>
            </w:pPr>
            <w:r w:rsidRPr="002F6A28">
              <w:rPr>
                <w:b/>
              </w:rPr>
              <w:t>Objective and rationale, including the nature of urgent problems where applicable:</w:t>
            </w:r>
            <w:r w:rsidRPr="00C379C8" w:rsidR="00EE3A11">
              <w:t xml:space="preserve"> The Draft Law aims to strengthen public health, improve tobacco-product regulation, and align national legislation with international and national strategic commitments.</w:t>
            </w:r>
          </w:p>
          <w:p w:rsidR="00EE3A11" w:rsidRPr="00C379C8" w:rsidP="00A52603" w14:paraId="5AEA75D7" w14:textId="77777777">
            <w:pPr>
              <w:keepNext/>
              <w:keepLines/>
              <w:spacing w:before="120" w:after="120"/>
            </w:pPr>
            <w:r w:rsidRPr="00C379C8">
              <w:t xml:space="preserve">The primary objective of the Draft Law is to require the inclusion of smoking-cessation support information—such as </w:t>
            </w:r>
            <w:r w:rsidRPr="00C379C8">
              <w:t>quitline</w:t>
            </w:r>
            <w:r w:rsidRPr="00C379C8">
              <w:t xml:space="preserve"> numbers, e-mail addresses and websites—on the packaging of heated tobacco products, herbal smoking products, and in the information leaflets of electronic cigarettes and their refills. This measure aims to increase public awareness of free, state-funded support for people who want to quit smoking.</w:t>
            </w:r>
          </w:p>
          <w:p w:rsidR="00EE3A11" w:rsidRPr="00C379C8" w:rsidP="00A52603" w14:paraId="6FB7A812" w14:textId="77777777">
            <w:pPr>
              <w:keepNext/>
              <w:keepLines/>
              <w:spacing w:before="120" w:after="120"/>
            </w:pPr>
            <w:r w:rsidRPr="00C379C8">
              <w:t>This proposal aims to implement Measure 5 under Objective 2.1 of the 2024-2026 Implementation Plan of the National Agenda on Drugs, Tobacco and Alcohol Control, Prevention of Use and Harm Reduction until 2035. Measure 5 states: "</w:t>
            </w:r>
            <w:r w:rsidRPr="00C379C8">
              <w:rPr>
                <w:i/>
                <w:iCs/>
              </w:rPr>
              <w:t>To encourage the population to stop using tobacco products, related products and tobacco substitutes, and to increase awareness of the consultations provided by the national smoking cessation helpline, improve the labelling of tobacco products, related products and tobacco substitutes by indicating on their packaging the information about the national smoking cessation helpline</w:t>
            </w:r>
            <w:r w:rsidRPr="00C379C8">
              <w:t>."</w:t>
            </w:r>
          </w:p>
          <w:p w:rsidR="00EE3A11" w:rsidRPr="00C379C8" w:rsidP="00A52603" w14:paraId="73B7BB1D" w14:textId="77777777">
            <w:pPr>
              <w:keepNext/>
              <w:keepLines/>
              <w:spacing w:before="120" w:after="120"/>
            </w:pPr>
            <w:r w:rsidRPr="00C379C8">
              <w:t>According to the Special Eurobarometer 539 (2023) on "Attitudes of Europeans towards Tobacco and Related Products"</w:t>
            </w:r>
            <w:hyperlink w:anchor="_ftn1" w:history="1">
              <w:r w:rsidRPr="00C379C8">
                <w:t>[1]</w:t>
              </w:r>
            </w:hyperlink>
            <w:r w:rsidRPr="00C379C8">
              <w:t xml:space="preserve">, people in Lithuania attempt to quit smoking without any cessation support significantly more often than the EU average (21% in Lithuania vs. 15% across the 27 EU countries). Only 2% of respondents in Lithuania reported using medical assistance or the smoking cessation </w:t>
            </w:r>
            <w:r w:rsidRPr="00C379C8">
              <w:t>quitline</w:t>
            </w:r>
            <w:r w:rsidRPr="00C379C8">
              <w:t>. These results demonstrate a strong need to motivate and educate the population about the importance of quitting smoking, its health benefits, increased healthy life expectancy, reduced premature mortality, and the availability of f</w:t>
            </w:r>
            <w:r w:rsidRPr="00C379C8">
              <w:t>ree smoking cessation support in Lithuania (including services provided by the Quitline), in which the state is investing.</w:t>
            </w:r>
          </w:p>
          <w:p w:rsidR="00EE3A11" w:rsidRPr="00C379C8" w:rsidP="00A52603" w14:paraId="6A923C0C" w14:textId="77777777">
            <w:pPr>
              <w:keepNext/>
              <w:keepLines/>
              <w:spacing w:before="120" w:after="120"/>
            </w:pPr>
            <w:r w:rsidRPr="00C379C8">
              <w:t>Data from the Vilnius University study "</w:t>
            </w:r>
            <w:r w:rsidRPr="00C379C8">
              <w:rPr>
                <w:i/>
                <w:iCs/>
              </w:rPr>
              <w:t>Economic Impact Measures in Smoking Prevention</w:t>
            </w:r>
            <w:r w:rsidRPr="00C379C8">
              <w:t>" (2020)</w:t>
            </w:r>
            <w:hyperlink w:anchor="_ftn2" w:history="1">
              <w:r w:rsidRPr="00C379C8">
                <w:t>[2]</w:t>
              </w:r>
            </w:hyperlink>
            <w:r w:rsidRPr="00C379C8">
              <w:t xml:space="preserve"> show that 70% of smokers and 75% of non-smokers in Lithuania identified a free </w:t>
            </w:r>
            <w:r w:rsidRPr="00C379C8">
              <w:t>quitline</w:t>
            </w:r>
            <w:r w:rsidRPr="00C379C8">
              <w:t xml:space="preserve"> as the most effective measure to reduce smoking prevalence. Support was highest among respondents aged 15–25. These findings demonstrate the significant potential of the Quitline in reducing smoking prevalence in Lithuania. The measures proposed in the Draft Law would substantially contribute to informing the public about the Quitline and its free smoking cessation services.</w:t>
            </w:r>
          </w:p>
          <w:p w:rsidR="00EE3A11" w:rsidRPr="00C379C8" w:rsidP="00A52603" w14:paraId="07168396" w14:textId="77777777">
            <w:pPr>
              <w:keepNext/>
              <w:keepLines/>
              <w:spacing w:before="120" w:after="120"/>
            </w:pPr>
            <w:r w:rsidRPr="00C379C8">
              <w:t xml:space="preserve">According to the World Health Organization (WHO) data (2022), including </w:t>
            </w:r>
            <w:r w:rsidRPr="00C379C8">
              <w:t>quitline</w:t>
            </w:r>
            <w:r w:rsidRPr="00C379C8">
              <w:t xml:space="preserve"> information on tobacco product packaging is mandatory in 51 countries worldwide and 18 EU Member States (Austria, Belgium, Bulgaria, Croatia, Cyprus, Denmark, France, Germany, Hungary, Ireland, Italy, Latvia, Malta, the Netherlands, Poland, Portugal, Slovakia and Slovenia). In line with Article 11 of the WHO Framework Convention on Tobacco Control and its implementation guidelines, countries that operate </w:t>
            </w:r>
            <w:r w:rsidRPr="00C379C8">
              <w:t>quitlines</w:t>
            </w:r>
            <w:r w:rsidRPr="00C379C8">
              <w:t xml:space="preserve"> are recommended to promote them alongside graphic health warnings on cigarette packag</w:t>
            </w:r>
            <w:r w:rsidRPr="00C379C8">
              <w:t>ing.</w:t>
            </w:r>
          </w:p>
          <w:p w:rsidR="00EE3A11" w:rsidRPr="00C379C8" w:rsidP="00A52603" w14:paraId="05C2C233" w14:textId="77777777">
            <w:pPr>
              <w:keepNext/>
              <w:keepLines/>
              <w:spacing w:before="120" w:after="120"/>
            </w:pPr>
            <w:r w:rsidRPr="00C379C8">
              <w:t xml:space="preserve">The second objective of the Draft Law is to specify the administrative services provided by the Drug, Tobacco and Alcohol Control Department (hereinafter – </w:t>
            </w:r>
            <w:r w:rsidRPr="00C379C8">
              <w:t>DTACD</w:t>
            </w:r>
            <w:r w:rsidRPr="00C379C8">
              <w:t>) related to notifications submitted by manufacturers and importers of tobacco products and related products through the European Commission's EU Common Entry Gate (EU-</w:t>
            </w:r>
            <w:r w:rsidRPr="00C379C8">
              <w:t>CEG</w:t>
            </w:r>
            <w:r w:rsidRPr="00C379C8">
              <w:t>) portal (hereinafter – EU-</w:t>
            </w:r>
            <w:r w:rsidRPr="00C379C8">
              <w:t>CEG</w:t>
            </w:r>
            <w:r w:rsidRPr="00C379C8">
              <w:t xml:space="preserve"> portal). The Draft Law also aims to establish a state fee for these services, a 20-working-day period for </w:t>
            </w:r>
            <w:r w:rsidRPr="00C379C8">
              <w:t>DTACD</w:t>
            </w:r>
            <w:r w:rsidRPr="00C379C8">
              <w:t xml:space="preserve"> to assess whether the product information complies with the requirements of the Tobacco Control Law and an obligation to publish this information on its website. An additional 10-working-day pe</w:t>
            </w:r>
            <w:r w:rsidRPr="00C379C8">
              <w:t xml:space="preserve">riod would be available for businesses to correct deficiencies; this period is not included in the 20-working-day assessment period. Furthermore, a uniform six-month period would be established for </w:t>
            </w:r>
            <w:r w:rsidRPr="00C379C8">
              <w:rPr>
                <w:b/>
                <w:bCs/>
              </w:rPr>
              <w:t>all tobacco products</w:t>
            </w:r>
            <w:r w:rsidRPr="00C379C8">
              <w:t xml:space="preserve"> </w:t>
            </w:r>
            <w:r w:rsidRPr="00C379C8">
              <w:rPr>
                <w:b/>
                <w:bCs/>
              </w:rPr>
              <w:t>and related products between submitting information to EU-</w:t>
            </w:r>
            <w:r w:rsidRPr="00C379C8">
              <w:rPr>
                <w:b/>
                <w:bCs/>
              </w:rPr>
              <w:t>CEG</w:t>
            </w:r>
            <w:r w:rsidRPr="00C379C8">
              <w:rPr>
                <w:b/>
                <w:bCs/>
              </w:rPr>
              <w:t xml:space="preserve"> and placing the product on the market</w:t>
            </w:r>
            <w:r w:rsidRPr="00C379C8">
              <w:t>.</w:t>
            </w:r>
          </w:p>
          <w:p w:rsidR="00EE3A11" w:rsidRPr="00C379C8" w:rsidP="00A52603" w14:paraId="1BA0D48E" w14:textId="77777777">
            <w:pPr>
              <w:keepNext/>
              <w:keepLines/>
              <w:spacing w:before="120" w:after="120"/>
            </w:pPr>
            <w:r w:rsidRPr="00C379C8">
              <w:t>DTACD</w:t>
            </w:r>
            <w:r w:rsidRPr="00C379C8">
              <w:t xml:space="preserve"> is the national authority responsible for receiving EU-</w:t>
            </w:r>
            <w:r w:rsidRPr="00C379C8">
              <w:t>CEG</w:t>
            </w:r>
            <w:r w:rsidRPr="00C379C8">
              <w:t xml:space="preserve"> notifications for products intended for the Lithuanian market, as required by Articles 5 and 20 of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 (hereinafter – </w:t>
            </w:r>
            <w:hyperlink r:id="rId9" w:history="1">
              <w:r w:rsidRPr="00C379C8">
                <w:rPr>
                  <w:color w:val="0000FF"/>
                  <w:u w:val="single"/>
                </w:rPr>
                <w:t>the Tobacco Products Directive)</w:t>
              </w:r>
            </w:hyperlink>
            <w:r w:rsidRPr="00C379C8">
              <w:t xml:space="preserve">. The </w:t>
            </w:r>
            <w:r w:rsidRPr="00C379C8">
              <w:t>provisions of the Tobacco Products Directive have been transposed into the Tobacco Control Law. According to Article 5(8) and Article 20(2) of the Tobacco Products Directive, Member States may charge manufacturers and importers a proportional fee for receiving, storing, processing, and analysing the information submitted. Many EU countries have such fees, and submitting entities must pay the established fee before submitting notifications through EU-</w:t>
            </w:r>
            <w:r w:rsidRPr="00C379C8">
              <w:t>CEG</w:t>
            </w:r>
            <w:r w:rsidRPr="00C379C8">
              <w:t>.</w:t>
            </w:r>
          </w:p>
          <w:p w:rsidR="00EE3A11" w:rsidRPr="00C379C8" w:rsidP="00A52603" w14:paraId="0406FDA4" w14:textId="77777777">
            <w:pPr>
              <w:keepNext/>
              <w:keepLines/>
              <w:spacing w:before="120" w:after="120"/>
            </w:pPr>
            <w:r w:rsidRPr="00C379C8">
              <w:t>Currently, the Tobacco Control Law does not specify a uniform timeframe, leading to inconsistent requirements for different products, creating unequal competition and potential legal uncertainty. Establishing a six-month period for all products would create equal conditions for all businesses, ensure greater legal clarity and predictability for both authorities and industry, and allow manufacturers and distributors to plan market entry, labelling, logistics, marketing, and compliance. It would also facilita</w:t>
            </w:r>
            <w:r w:rsidRPr="00C379C8">
              <w:t>te oversight and control, as a standardized process is easier to administer and evaluate.</w:t>
            </w:r>
          </w:p>
          <w:p w:rsidR="00EE3A11" w:rsidRPr="00C379C8" w:rsidP="00A52603" w14:paraId="1B3D3CF2" w14:textId="77777777">
            <w:pPr>
              <w:keepNext/>
              <w:keepLines/>
              <w:spacing w:before="120" w:after="120"/>
            </w:pPr>
            <w:r w:rsidRPr="00C379C8">
              <w:t>This regulation would optimize the flow of notifications to the EU-</w:t>
            </w:r>
            <w:r w:rsidRPr="00C379C8">
              <w:t>CEG</w:t>
            </w:r>
            <w:r w:rsidRPr="00C379C8">
              <w:t xml:space="preserve"> portal (currently, the number of notifications in EU-</w:t>
            </w:r>
            <w:r w:rsidRPr="00C379C8">
              <w:t>CEG</w:t>
            </w:r>
            <w:r w:rsidRPr="00C379C8">
              <w:t xml:space="preserve"> does not reflect the real market situation because, in the absence of a fee, businesses can submit unlimited notifications, and not all notified products reach the Lithuanian market). It would ensure that products on the market comply with the information declared in the notifications of the Tobacco Control Law, and that </w:t>
            </w:r>
            <w:r w:rsidRPr="00C379C8">
              <w:t>DTACD</w:t>
            </w:r>
            <w:r w:rsidRPr="00C379C8">
              <w:t xml:space="preserve"> is compensated for the administrative services provided, with revenues collected for the state budget.</w:t>
            </w:r>
          </w:p>
          <w:p w:rsidR="00EE3A11" w:rsidRPr="00C379C8" w:rsidP="00A52603" w14:paraId="1757C484" w14:textId="77777777">
            <w:pPr>
              <w:keepNext/>
              <w:keepLines/>
              <w:spacing w:before="120" w:after="120"/>
            </w:pPr>
            <w:r w:rsidRPr="00C379C8">
              <w:t xml:space="preserve">The proposed legal framework would enable more effective market surveillance, as authorities (not only </w:t>
            </w:r>
            <w:r w:rsidRPr="00C379C8">
              <w:t>DTACD</w:t>
            </w:r>
            <w:r w:rsidRPr="00C379C8">
              <w:t>) could use product notifications to efficiently allocate resources for inspections and remove products from the market that do not comply with the Tobacco Control Law. This legal regulation would not apply retroactively to notifications submitted to EU-</w:t>
            </w:r>
            <w:r w:rsidRPr="00C379C8">
              <w:t>CEG</w:t>
            </w:r>
            <w:r w:rsidRPr="00C379C8">
              <w:t xml:space="preserve"> or products already on the market before the Law enters into force, but all products placed on the market must comply with the current requirements of the Tobacco Control Law.</w:t>
            </w:r>
          </w:p>
          <w:p w:rsidR="00EE3A11" w:rsidRPr="00C379C8" w:rsidP="00A52603" w14:paraId="1D1AC310" w14:textId="77777777">
            <w:pPr>
              <w:keepNext/>
              <w:keepLines/>
              <w:spacing w:before="120" w:after="120"/>
            </w:pPr>
            <w:r w:rsidRPr="00C379C8">
              <w:t>The Draft Law also aims to clarify the rules on information displayed at retail locations of tobacco products and related products (e.g., near cash registers) and to require that, alongside the existing health warnings about the harmful effects of tobacco use, information is also provided on where to find more information about tobacco-related harm and support for quitting smoking. To implement this requirement, the national smoking cessation Quitline would be indicated. This change would increase the visib</w:t>
            </w:r>
            <w:r w:rsidRPr="00C379C8">
              <w:t>ility of the Quitline and raise public awareness of its services.</w:t>
            </w:r>
          </w:p>
          <w:p w:rsidR="00EE3A11" w:rsidRPr="00C379C8" w:rsidP="00A52603" w14:paraId="26B9FEC0" w14:textId="77777777">
            <w:pPr>
              <w:keepNext/>
              <w:keepLines/>
              <w:spacing w:before="120" w:after="120"/>
            </w:pPr>
          </w:p>
          <w:p w:rsidR="00EE3A11" w:rsidRPr="00C379C8" w:rsidP="00A52603" w14:paraId="486EDF98" w14:textId="77777777">
            <w:pPr>
              <w:keepNext/>
              <w:keepLines/>
              <w:spacing w:before="120" w:after="120"/>
            </w:pPr>
            <w:hyperlink w:anchor="_ftnref1" w:history="1">
              <w:r w:rsidRPr="00C379C8">
                <w:t>[1]</w:t>
              </w:r>
            </w:hyperlink>
            <w:r w:rsidRPr="00C379C8" w:rsidR="00531F82">
              <w:t xml:space="preserve"> </w:t>
            </w:r>
            <w:hyperlink r:id="rId10" w:history="1">
              <w:r w:rsidRPr="00C379C8">
                <w:rPr>
                  <w:color w:val="0000FF"/>
                  <w:u w:val="single"/>
                </w:rPr>
                <w:t>https://europa.eu/eurobarometer/surveys/detail/2995</w:t>
              </w:r>
            </w:hyperlink>
          </w:p>
          <w:p w:rsidR="00EE3A11" w:rsidRPr="00C379C8" w:rsidP="00A52603" w14:paraId="6084ADDF" w14:textId="77777777">
            <w:pPr>
              <w:keepNext/>
              <w:keepLines/>
              <w:spacing w:before="120" w:after="120"/>
            </w:pPr>
            <w:hyperlink w:anchor="_ftnref2" w:history="1">
              <w:r w:rsidRPr="00C379C8">
                <w:t>[2]</w:t>
              </w:r>
            </w:hyperlink>
            <w:r w:rsidRPr="00C379C8" w:rsidR="00531F82">
              <w:t xml:space="preserve"> </w:t>
            </w:r>
            <w:hyperlink r:id="rId11" w:history="1">
              <w:r w:rsidRPr="00C379C8">
                <w:rPr>
                  <w:color w:val="0000FF"/>
                  <w:u w:val="single"/>
                </w:rPr>
                <w:t>https://sam.lrv.lt/uploads/sam/documents/files/Komisijos%20ir%20darbo%20grup%C4%97s/VSSF/2018/2018_m_projektu_</w:t>
              </w:r>
            </w:hyperlink>
            <w:r w:rsidRPr="00C379C8" w:rsidR="00531F82">
              <w:br/>
            </w:r>
            <w:hyperlink r:id="rId11" w:history="1">
              <w:r w:rsidRPr="00C379C8">
                <w:rPr>
                  <w:color w:val="0000FF"/>
                  <w:u w:val="single"/>
                </w:rPr>
                <w:t>aprasymai/EKONOMINIO_POVEIKIO_PRIEMONES_RUKYMO_PREVENCIJOJE_Galutine_ataskaita_2021.pdf</w:t>
              </w:r>
            </w:hyperlink>
          </w:p>
        </w:tc>
      </w:tr>
      <w:tr w14:paraId="64419185" w14:textId="77777777" w:rsidTr="00DB13FE">
        <w:tblPrEx>
          <w:tblW w:w="5000" w:type="pct"/>
          <w:tblLayout w:type="fixed"/>
          <w:tblLook w:val="0000"/>
        </w:tblPrEx>
        <w:tc>
          <w:tcPr>
            <w:tcW w:w="607" w:type="dxa"/>
          </w:tcPr>
          <w:p w:rsidR="00F85C99" w:rsidRPr="002F6A28" w:rsidP="009E75ED" w14:paraId="2B519F54" w14:textId="77777777">
            <w:pPr>
              <w:spacing w:before="120" w:after="120"/>
              <w:jc w:val="left"/>
              <w:rPr>
                <w:b/>
              </w:rPr>
            </w:pPr>
            <w:r w:rsidRPr="002F6A28">
              <w:rPr>
                <w:b/>
              </w:rPr>
              <w:t>8.</w:t>
            </w:r>
          </w:p>
        </w:tc>
        <w:tc>
          <w:tcPr>
            <w:tcW w:w="8373" w:type="dxa"/>
          </w:tcPr>
          <w:p w:rsidR="000C3B6C" w:rsidRPr="00A52603" w:rsidP="007F13E8" w14:paraId="755A3274" w14:textId="77777777">
            <w:pPr>
              <w:spacing w:before="120" w:after="120"/>
              <w:rPr>
                <w:bCs/>
                <w:lang w:val="fr-FR"/>
              </w:rPr>
            </w:pPr>
            <w:r w:rsidRPr="00A52603">
              <w:rPr>
                <w:b/>
                <w:lang w:val="fr-FR"/>
              </w:rPr>
              <w:t>Relevant documents:</w:t>
            </w:r>
            <w:r w:rsidRPr="00A52603" w:rsidR="00EE3A11">
              <w:rPr>
                <w:lang w:val="fr-FR"/>
              </w:rPr>
              <w:t xml:space="preserve"> </w:t>
            </w:r>
          </w:p>
          <w:p w:rsidR="00EE3A11" w:rsidRPr="00A52603" w:rsidP="007F13E8" w14:paraId="204E7D49" w14:textId="77777777">
            <w:pPr>
              <w:spacing w:before="120" w:after="120"/>
              <w:rPr>
                <w:lang w:val="fr-FR"/>
              </w:rPr>
            </w:pPr>
            <w:r w:rsidRPr="00A52603">
              <w:rPr>
                <w:lang w:val="fr-FR"/>
              </w:rPr>
              <w:t>Draft Law:</w:t>
            </w:r>
          </w:p>
          <w:p w:rsidR="00EE3A11" w:rsidRPr="00A52603" w:rsidP="007F13E8" w14:paraId="7E2917C8" w14:textId="77777777">
            <w:pPr>
              <w:spacing w:before="120" w:after="120"/>
              <w:rPr>
                <w:lang w:val="fr-FR"/>
              </w:rPr>
            </w:pPr>
            <w:hyperlink r:id="rId12" w:history="1">
              <w:r w:rsidRPr="00A52603">
                <w:rPr>
                  <w:color w:val="0000FF"/>
                  <w:u w:val="single"/>
                  <w:lang w:val="fr-FR"/>
                </w:rPr>
                <w:t>https://e-seimas.lrs.lt/portal/legalAct/lt/TAP/743f01e0c37d11f0b01d8499355f68fb?jfwid=</w:t>
              </w:r>
            </w:hyperlink>
          </w:p>
          <w:p w:rsidR="00EE3A11" w:rsidRPr="002F6A28" w:rsidP="007F13E8" w14:paraId="098251B0" w14:textId="77777777">
            <w:pPr>
              <w:spacing w:before="120" w:after="120"/>
            </w:pPr>
            <w:r w:rsidRPr="002F6A28">
              <w:t>Draft Law (comparative version):</w:t>
            </w:r>
          </w:p>
          <w:p w:rsidR="00EE3A11" w:rsidRPr="002F6A28" w:rsidP="007F13E8" w14:paraId="6784947E" w14:textId="77777777">
            <w:pPr>
              <w:spacing w:before="120" w:after="120"/>
            </w:pPr>
            <w:hyperlink r:id="rId13" w:history="1">
              <w:r w:rsidRPr="002F6A28">
                <w:rPr>
                  <w:color w:val="0000FF"/>
                  <w:u w:val="single"/>
                </w:rPr>
                <w:t>https://e-seimas.lrs.lt/portal/legalAct/lt/TAK/8d153130c37d11f0b01d8499355f68fb?jfwid=</w:t>
              </w:r>
            </w:hyperlink>
          </w:p>
        </w:tc>
      </w:tr>
      <w:tr w14:paraId="7E6EBA0F" w14:textId="77777777" w:rsidTr="00DB13FE">
        <w:tblPrEx>
          <w:tblW w:w="5000" w:type="pct"/>
          <w:tblLayout w:type="fixed"/>
          <w:tblLook w:val="0000"/>
        </w:tblPrEx>
        <w:tc>
          <w:tcPr>
            <w:tcW w:w="607" w:type="dxa"/>
          </w:tcPr>
          <w:p w:rsidR="00EE3A11" w:rsidRPr="002F6A28" w:rsidP="00A52603" w14:paraId="42787CCC" w14:textId="77777777">
            <w:pPr>
              <w:keepNext/>
              <w:keepLines/>
              <w:spacing w:before="120" w:after="120"/>
              <w:jc w:val="left"/>
              <w:rPr>
                <w:b/>
              </w:rPr>
            </w:pPr>
            <w:r w:rsidRPr="002F6A28">
              <w:rPr>
                <w:b/>
              </w:rPr>
              <w:t>9.</w:t>
            </w:r>
          </w:p>
        </w:tc>
        <w:tc>
          <w:tcPr>
            <w:tcW w:w="8373" w:type="dxa"/>
          </w:tcPr>
          <w:p w:rsidR="00EE3A11" w:rsidRPr="002F6A28" w:rsidP="00A52603" w14:paraId="23588404" w14:textId="77777777">
            <w:pPr>
              <w:keepNext/>
              <w:keepLines/>
              <w:spacing w:before="120" w:after="120"/>
            </w:pPr>
            <w:r w:rsidRPr="002F6A28">
              <w:rPr>
                <w:b/>
              </w:rPr>
              <w:t>Proposed date of adoption:</w:t>
            </w:r>
            <w:r w:rsidRPr="00C379C8">
              <w:t xml:space="preserve"> Proposed date of entry into force 1 May, 2026</w:t>
            </w:r>
          </w:p>
          <w:p w:rsidR="00EE3A11" w:rsidRPr="002F6A28" w:rsidP="00A52603" w14:paraId="15CD4221" w14:textId="77777777">
            <w:pPr>
              <w:keepNext/>
              <w:keepLines/>
              <w:spacing w:after="120"/>
            </w:pPr>
            <w:r w:rsidRPr="002F6A28">
              <w:rPr>
                <w:b/>
              </w:rPr>
              <w:t>Proposed date of entry into force:</w:t>
            </w:r>
            <w:r w:rsidRPr="00C379C8">
              <w:t xml:space="preserve"> Proposed date of entry into force 1 May, 2026</w:t>
            </w:r>
          </w:p>
        </w:tc>
      </w:tr>
      <w:tr w14:paraId="2A9D2761" w14:textId="77777777" w:rsidTr="00DB13FE">
        <w:tblPrEx>
          <w:tblW w:w="5000" w:type="pct"/>
          <w:tblLayout w:type="fixed"/>
          <w:tblLook w:val="0000"/>
        </w:tblPrEx>
        <w:tc>
          <w:tcPr>
            <w:tcW w:w="607" w:type="dxa"/>
            <w:tcBorders>
              <w:bottom w:val="double" w:sz="4" w:space="0" w:color="auto"/>
            </w:tcBorders>
          </w:tcPr>
          <w:p w:rsidR="00F85C99" w:rsidRPr="002F6A28" w:rsidP="00A52603" w14:paraId="78E4DBFD"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A52603" w14:paraId="7ED87390"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A52603" w14:paraId="50D668DA" w14:textId="77777777">
            <w:pPr>
              <w:keepNext/>
              <w:keepLines/>
              <w:spacing w:before="120" w:after="120"/>
              <w:rPr>
                <w:bCs/>
              </w:rPr>
            </w:pPr>
            <w:r w:rsidRPr="002F6A28">
              <w:rPr>
                <w:b/>
              </w:rPr>
              <w:t>Final date for comments:</w:t>
            </w:r>
            <w:r w:rsidRPr="00C379C8" w:rsidR="00EE3A11">
              <w:t xml:space="preserve"> 20 February 2026</w:t>
            </w:r>
          </w:p>
          <w:p w:rsidR="000C3B6C" w:rsidRPr="00E3324D" w:rsidP="00A52603" w14:paraId="4C8151AE" w14:textId="77777777">
            <w:pPr>
              <w:keepNext/>
              <w:keepLines/>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D75956" w:rsidRPr="006A4C49" w:rsidP="00A52603" w14:paraId="18275BED" w14:textId="77777777">
            <w:pPr>
              <w:keepNext/>
              <w:keepLines/>
              <w:tabs>
                <w:tab w:val="left" w:pos="1418"/>
                <w:tab w:val="left" w:pos="2127"/>
                <w:tab w:val="left" w:pos="2835"/>
                <w:tab w:val="left" w:pos="3402"/>
              </w:tabs>
              <w:spacing w:before="120" w:after="120"/>
            </w:pPr>
            <w:r w:rsidRPr="006A4C49">
              <w:t>60 days after circulation by WTO Secretariat</w:t>
            </w:r>
          </w:p>
          <w:p w:rsidR="000C3B6C" w:rsidRPr="002F6A28" w:rsidP="00A52603" w14:paraId="38FE5329"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A52603" w14:paraId="0FC9315A" w14:textId="77777777">
            <w:pPr>
              <w:keepNext/>
              <w:keepLines/>
            </w:pPr>
            <w:r w:rsidRPr="00CE6C29">
              <w:t>Lithuanian Standards Board</w:t>
            </w:r>
          </w:p>
          <w:p w:rsidR="00CE6C29" w:rsidRPr="00CE6C29" w:rsidP="00A52603" w14:paraId="3476FAED" w14:textId="77777777">
            <w:pPr>
              <w:keepNext/>
              <w:keepLines/>
            </w:pPr>
            <w:r w:rsidRPr="00CE6C29">
              <w:t>Algirdo</w:t>
            </w:r>
            <w:r w:rsidRPr="00CE6C29">
              <w:t xml:space="preserve"> </w:t>
            </w:r>
            <w:r w:rsidRPr="00CE6C29">
              <w:t>st</w:t>
            </w:r>
            <w:r w:rsidRPr="00CE6C29">
              <w:t xml:space="preserve"> 31, LT-03219 Vilnius LITHUANIA</w:t>
            </w:r>
          </w:p>
          <w:p w:rsidR="00CE6C29" w:rsidRPr="00CE6C29" w:rsidP="00A52603" w14:paraId="53851689" w14:textId="77777777">
            <w:pPr>
              <w:keepNext/>
              <w:keepLines/>
            </w:pPr>
            <w:r w:rsidRPr="00CE6C29">
              <w:t>Tel. : +370 659 67311</w:t>
            </w:r>
          </w:p>
          <w:p w:rsidR="00CE6C29" w:rsidRPr="00CE6C29" w:rsidP="00A52603" w14:paraId="33BE67B4" w14:textId="77777777">
            <w:pPr>
              <w:keepNext/>
              <w:keepLines/>
              <w:spacing w:after="120"/>
            </w:pPr>
            <w:r w:rsidRPr="00CE6C29">
              <w:t xml:space="preserve">E-mail: </w:t>
            </w:r>
            <w:hyperlink r:id="rId14" w:history="1">
              <w:r w:rsidRPr="00CE6C29">
                <w:rPr>
                  <w:color w:val="0000FF"/>
                  <w:u w:val="single"/>
                </w:rPr>
                <w:t>dalia.reginiene@lsd.lt</w:t>
              </w:r>
            </w:hyperlink>
            <w:r w:rsidRPr="00CE6C29">
              <w:t xml:space="preserve"> (cc: </w:t>
            </w:r>
            <w:hyperlink r:id="rId15" w:history="1">
              <w:r w:rsidRPr="00CE6C29">
                <w:rPr>
                  <w:color w:val="0000FF"/>
                  <w:u w:val="single"/>
                </w:rPr>
                <w:t>enquiry@lsd.lt</w:t>
              </w:r>
            </w:hyperlink>
            <w:r w:rsidRPr="00CE6C29">
              <w:t>)</w:t>
            </w:r>
          </w:p>
        </w:tc>
      </w:tr>
    </w:tbl>
    <w:p w:rsidR="00EE3A11" w:rsidRPr="002F6A28" w:rsidP="00887259" w14:paraId="69FC768C"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F8B85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83338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7F7EA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3A570D" w14:textId="77777777">
    <w:pPr>
      <w:pStyle w:val="Header"/>
      <w:pBdr>
        <w:bottom w:val="single" w:sz="4" w:space="1" w:color="auto"/>
      </w:pBdr>
      <w:tabs>
        <w:tab w:val="clear" w:pos="4513"/>
        <w:tab w:val="clear" w:pos="9027"/>
      </w:tabs>
      <w:jc w:val="center"/>
    </w:pPr>
    <w:r w:rsidRPr="002F6A28">
      <w:t>tbtSymbol</w:t>
    </w:r>
  </w:p>
  <w:p w:rsidR="009239F7" w:rsidRPr="002F6A28" w:rsidP="009239F7" w14:paraId="5C2A799E" w14:textId="77777777">
    <w:pPr>
      <w:pStyle w:val="Header"/>
      <w:pBdr>
        <w:bottom w:val="single" w:sz="4" w:space="1" w:color="auto"/>
      </w:pBdr>
      <w:tabs>
        <w:tab w:val="clear" w:pos="4513"/>
        <w:tab w:val="clear" w:pos="9027"/>
      </w:tabs>
      <w:jc w:val="center"/>
    </w:pPr>
  </w:p>
  <w:p w:rsidR="009239F7" w:rsidRPr="002F6A28" w:rsidP="009239F7" w14:paraId="648891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64EDC9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088B30" w14:textId="77777777">
    <w:pPr>
      <w:pStyle w:val="Header"/>
      <w:pBdr>
        <w:bottom w:val="single" w:sz="4" w:space="1" w:color="auto"/>
      </w:pBdr>
      <w:tabs>
        <w:tab w:val="clear" w:pos="4513"/>
        <w:tab w:val="clear" w:pos="9027"/>
      </w:tabs>
      <w:jc w:val="center"/>
    </w:pPr>
    <w:bookmarkStart w:id="0" w:name="spsSymbolHeader"/>
    <w:r w:rsidRPr="002F6A28">
      <w:t>G/TBT/N/</w:t>
    </w:r>
    <w:r w:rsidRPr="002F6A28">
      <w:t>LTU</w:t>
    </w:r>
    <w:r w:rsidRPr="002F6A28">
      <w:t>/53</w:t>
    </w:r>
    <w:bookmarkEnd w:id="0"/>
  </w:p>
  <w:p w:rsidR="009239F7" w:rsidRPr="002F6A28" w:rsidP="009239F7" w14:paraId="70D091C4" w14:textId="77777777">
    <w:pPr>
      <w:pStyle w:val="Header"/>
      <w:pBdr>
        <w:bottom w:val="single" w:sz="4" w:space="1" w:color="auto"/>
      </w:pBdr>
      <w:tabs>
        <w:tab w:val="clear" w:pos="4513"/>
        <w:tab w:val="clear" w:pos="9027"/>
      </w:tabs>
      <w:jc w:val="center"/>
    </w:pPr>
  </w:p>
  <w:p w:rsidR="009239F7" w:rsidRPr="002F6A28" w:rsidP="009239F7" w14:paraId="0C750A8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0121E6D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581D4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6436E3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3E892E4" w14:textId="77777777">
          <w:pPr>
            <w:jc w:val="right"/>
            <w:rPr>
              <w:b/>
              <w:color w:val="FF0000"/>
              <w:szCs w:val="16"/>
            </w:rPr>
          </w:pPr>
        </w:p>
      </w:tc>
    </w:tr>
    <w:bookmarkEnd w:id="1"/>
    <w:tr w14:paraId="4D6D347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B680E9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03F8D0" w14:textId="77777777">
          <w:pPr>
            <w:jc w:val="right"/>
            <w:rPr>
              <w:b/>
              <w:szCs w:val="16"/>
            </w:rPr>
          </w:pPr>
        </w:p>
      </w:tc>
    </w:tr>
    <w:tr w14:paraId="1FFCC52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183224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EC61412" w14:textId="77777777">
          <w:pPr>
            <w:jc w:val="right"/>
            <w:rPr>
              <w:b/>
              <w:szCs w:val="16"/>
            </w:rPr>
          </w:pPr>
          <w:bookmarkStart w:id="2" w:name="bmkSymbols"/>
          <w:r w:rsidRPr="002F6A28">
            <w:rPr>
              <w:b/>
              <w:szCs w:val="16"/>
            </w:rPr>
            <w:t>G/TBT/N/</w:t>
          </w:r>
          <w:r w:rsidRPr="002F6A28">
            <w:rPr>
              <w:b/>
              <w:szCs w:val="16"/>
            </w:rPr>
            <w:t>LTU</w:t>
          </w:r>
          <w:r w:rsidRPr="002F6A28">
            <w:rPr>
              <w:b/>
              <w:szCs w:val="16"/>
            </w:rPr>
            <w:t>/53</w:t>
          </w:r>
          <w:bookmarkEnd w:id="2"/>
        </w:p>
      </w:tc>
    </w:tr>
    <w:tr w14:paraId="5625171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F23BE4F" w14:textId="77777777"/>
      </w:tc>
      <w:tc>
        <w:tcPr>
          <w:tcW w:w="5448" w:type="dxa"/>
          <w:gridSpan w:val="2"/>
          <w:shd w:val="clear" w:color="auto" w:fill="FFFFFF"/>
          <w:tcMar>
            <w:left w:w="108" w:type="dxa"/>
            <w:right w:w="108" w:type="dxa"/>
          </w:tcMar>
          <w:vAlign w:val="center"/>
        </w:tcPr>
        <w:p w:rsidR="00ED54E0" w:rsidRPr="009239F7" w:rsidP="00B801E9" w14:paraId="5948BA6F" w14:textId="77777777">
          <w:pPr>
            <w:jc w:val="right"/>
            <w:rPr>
              <w:szCs w:val="16"/>
            </w:rPr>
          </w:pPr>
          <w:bookmarkStart w:id="3" w:name="spsDateDistribution"/>
          <w:bookmarkStart w:id="4" w:name="bmkDate"/>
          <w:r w:rsidRPr="009239F7">
            <w:rPr>
              <w:szCs w:val="16"/>
            </w:rPr>
            <w:t>22 December 2025</w:t>
          </w:r>
          <w:bookmarkEnd w:id="3"/>
          <w:bookmarkEnd w:id="4"/>
        </w:p>
      </w:tc>
    </w:tr>
    <w:tr w14:paraId="250E9A8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7F3438A" w14:textId="77777777">
          <w:pPr>
            <w:jc w:val="left"/>
            <w:rPr>
              <w:b/>
            </w:rPr>
          </w:pPr>
          <w:bookmarkStart w:id="5" w:name="bmkSerial"/>
          <w:r>
            <w:rPr>
              <w:rFonts w:ascii="Verdana" w:eastAsia="Verdana" w:hAnsi="Verdana" w:cs="Verdana"/>
              <w:b w:val="0"/>
              <w:color w:val="FF0000"/>
              <w:sz w:val="18"/>
            </w:rPr>
            <w:t>(25-8800)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72E6D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29B1469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C4BE1F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628E3A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0EEFE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5224215">
    <w:abstractNumId w:val="9"/>
  </w:num>
  <w:num w:numId="2" w16cid:durableId="1148981624">
    <w:abstractNumId w:val="7"/>
  </w:num>
  <w:num w:numId="3" w16cid:durableId="1415198736">
    <w:abstractNumId w:val="6"/>
  </w:num>
  <w:num w:numId="4" w16cid:durableId="1243249920">
    <w:abstractNumId w:val="5"/>
  </w:num>
  <w:num w:numId="5" w16cid:durableId="1086878844">
    <w:abstractNumId w:val="4"/>
  </w:num>
  <w:num w:numId="6" w16cid:durableId="20863942">
    <w:abstractNumId w:val="12"/>
  </w:num>
  <w:num w:numId="7" w16cid:durableId="994451678">
    <w:abstractNumId w:val="11"/>
  </w:num>
  <w:num w:numId="8" w16cid:durableId="468481340">
    <w:abstractNumId w:val="10"/>
  </w:num>
  <w:num w:numId="9" w16cid:durableId="877280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6781775">
    <w:abstractNumId w:val="13"/>
  </w:num>
  <w:num w:numId="11" w16cid:durableId="1508329385">
    <w:abstractNumId w:val="8"/>
  </w:num>
  <w:num w:numId="12" w16cid:durableId="219445325">
    <w:abstractNumId w:val="3"/>
  </w:num>
  <w:num w:numId="13" w16cid:durableId="433867784">
    <w:abstractNumId w:val="2"/>
  </w:num>
  <w:num w:numId="14" w16cid:durableId="2056810271">
    <w:abstractNumId w:val="1"/>
  </w:num>
  <w:num w:numId="15" w16cid:durableId="121288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22DA"/>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1F82"/>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580C"/>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309F"/>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69AA"/>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2603"/>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E907D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opa.eu/eurobarometer/surveys/detail/2995" TargetMode="External" /><Relationship Id="rId11" Type="http://schemas.openxmlformats.org/officeDocument/2006/relationships/hyperlink" Target="https://sam.lrv.lt/uploads/sam/documents/files/Komisijos%20ir%20darbo%20grup%C4%97s/VSSF/2018/2018_m_projektu_aprasymai/EKONOMINIO_POVEIKIO_PRIEMONES_RUKYMO_PREVENCIJOJE_Galutine_ataskaita_2021.pdf" TargetMode="External" /><Relationship Id="rId12" Type="http://schemas.openxmlformats.org/officeDocument/2006/relationships/hyperlink" Target="https://e-seimas.lrs.lt/portal/legalAct/lt/TAP/743f01e0c37d11f0b01d8499355f68fb?jfwid=" TargetMode="External" /><Relationship Id="rId13" Type="http://schemas.openxmlformats.org/officeDocument/2006/relationships/hyperlink" Target="https://e-seimas.lrs.lt/portal/legalAct/lt/TAK/8d153130c37d11f0b01d8499355f68fb?jfwid=" TargetMode="External" /><Relationship Id="rId14" Type="http://schemas.openxmlformats.org/officeDocument/2006/relationships/hyperlink" Target="mailto:dalia.reginiene@lsd.lt" TargetMode="External" /><Relationship Id="rId15" Type="http://schemas.openxmlformats.org/officeDocument/2006/relationships/hyperlink" Target="mailto:enquiry@lsd.l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inisterija@sam.lt" TargetMode="External" /><Relationship Id="rId7" Type="http://schemas.openxmlformats.org/officeDocument/2006/relationships/hyperlink" Target="http://sam.lrv.lt/" TargetMode="External" /><Relationship Id="rId8" Type="http://schemas.openxmlformats.org/officeDocument/2006/relationships/hyperlink" Target="https://members.wto.org/crnattachments/2025/TBT/LTU/25_09171_00_e.pdf" TargetMode="External" /><Relationship Id="rId9" Type="http://schemas.openxmlformats.org/officeDocument/2006/relationships/hyperlink" Target="http://EC"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9DE7297-80AE-49DF-BCD7-CCFBDC9A91B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4</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2025-12-22T10:23:00Z</dcterms:created>
  <dcterms:modified xsi:type="dcterms:W3CDTF">2025-12-22T10:31:00Z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