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FEE9E4D" w14:textId="77777777">
      <w:pPr>
        <w:pStyle w:val="Title"/>
        <w:rPr>
          <w:caps w:val="0"/>
          <w:kern w:val="0"/>
        </w:rPr>
      </w:pPr>
      <w:r w:rsidRPr="002F6A28">
        <w:rPr>
          <w:caps w:val="0"/>
          <w:kern w:val="0"/>
        </w:rPr>
        <w:t>NOTIFICATION</w:t>
      </w:r>
    </w:p>
    <w:p w:rsidR="009239F7" w:rsidRPr="002F6A28" w:rsidP="002F6A28" w14:paraId="103BD8F3" w14:textId="77777777">
      <w:pPr>
        <w:jc w:val="center"/>
      </w:pPr>
      <w:r w:rsidRPr="002F6A28">
        <w:t>The following notification is being circulated in accordance with Article 10.6</w:t>
      </w:r>
    </w:p>
    <w:p w:rsidR="009239F7" w:rsidRPr="002F6A28" w:rsidP="002F6A28" w14:paraId="62FEA81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8FB55AA" w14:textId="77777777" w:rsidTr="00DB13FE">
        <w:tblPrEx>
          <w:tblW w:w="5000" w:type="pct"/>
          <w:tblLayout w:type="fixed"/>
          <w:tblLook w:val="0000"/>
        </w:tblPrEx>
        <w:tc>
          <w:tcPr>
            <w:tcW w:w="607" w:type="dxa"/>
            <w:tcBorders>
              <w:top w:val="double" w:sz="4" w:space="0" w:color="auto"/>
            </w:tcBorders>
          </w:tcPr>
          <w:p w:rsidR="00F85C99" w:rsidRPr="002F6A28" w:rsidP="002F6A28" w14:paraId="5E841F19" w14:textId="77777777">
            <w:pPr>
              <w:spacing w:before="120" w:after="120"/>
              <w:jc w:val="left"/>
            </w:pPr>
            <w:r w:rsidRPr="002F6A28">
              <w:rPr>
                <w:b/>
              </w:rPr>
              <w:t>1.</w:t>
            </w:r>
          </w:p>
        </w:tc>
        <w:tc>
          <w:tcPr>
            <w:tcW w:w="8373" w:type="dxa"/>
            <w:tcBorders>
              <w:top w:val="double" w:sz="4" w:space="0" w:color="auto"/>
            </w:tcBorders>
          </w:tcPr>
          <w:p w:rsidR="00F85C99" w:rsidRPr="002F6A28" w:rsidP="00C805B6" w14:paraId="0DA9F5A0" w14:textId="77777777">
            <w:pPr>
              <w:spacing w:before="120" w:after="120"/>
            </w:pPr>
            <w:r w:rsidRPr="002F6A28">
              <w:rPr>
                <w:b/>
              </w:rPr>
              <w:t>Notifying Member:</w:t>
            </w:r>
            <w:r w:rsidRPr="00C92678" w:rsidR="00EE3A11">
              <w:t xml:space="preserve"> </w:t>
            </w:r>
            <w:r w:rsidRPr="00C92678" w:rsidR="00EE3A11">
              <w:rPr>
                <w:u w:val="single"/>
              </w:rPr>
              <w:t>CANADA</w:t>
            </w:r>
          </w:p>
          <w:p w:rsidR="00F85C99" w:rsidRPr="002F6A28" w:rsidP="002F6A28" w14:paraId="4C40B20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E82B746" w14:textId="77777777" w:rsidTr="00DB13FE">
        <w:tblPrEx>
          <w:tblW w:w="5000" w:type="pct"/>
          <w:tblLayout w:type="fixed"/>
          <w:tblLook w:val="0000"/>
        </w:tblPrEx>
        <w:tc>
          <w:tcPr>
            <w:tcW w:w="607" w:type="dxa"/>
          </w:tcPr>
          <w:p w:rsidR="00F85C99" w:rsidRPr="002F6A28" w:rsidP="002F6A28" w14:paraId="0D125CC3" w14:textId="77777777">
            <w:pPr>
              <w:spacing w:before="120" w:after="120"/>
              <w:jc w:val="left"/>
            </w:pPr>
            <w:r w:rsidRPr="002F6A28">
              <w:rPr>
                <w:b/>
              </w:rPr>
              <w:t>2.</w:t>
            </w:r>
          </w:p>
        </w:tc>
        <w:tc>
          <w:tcPr>
            <w:tcW w:w="8373" w:type="dxa"/>
          </w:tcPr>
          <w:p w:rsidR="00F85C99" w:rsidRPr="002F6A28" w:rsidP="000C3B6C" w14:paraId="147D5DF0" w14:textId="77777777">
            <w:pPr>
              <w:spacing w:before="120" w:after="120"/>
            </w:pPr>
            <w:r w:rsidRPr="002F6A28">
              <w:rPr>
                <w:b/>
              </w:rPr>
              <w:t>Agency responsible:</w:t>
            </w:r>
            <w:r w:rsidRPr="00C379C8" w:rsidR="00EE3A11">
              <w:t xml:space="preserve"> </w:t>
            </w:r>
          </w:p>
          <w:p w:rsidR="00EE3A11" w:rsidRPr="00C379C8" w:rsidP="000C3B6C" w14:paraId="28898366" w14:textId="77777777">
            <w:pPr>
              <w:spacing w:after="120"/>
            </w:pPr>
            <w:r w:rsidRPr="00C379C8">
              <w:t>Department of Health (Health Canada)</w:t>
            </w:r>
          </w:p>
        </w:tc>
      </w:tr>
      <w:tr w14:paraId="3045CDFA" w14:textId="77777777" w:rsidTr="00DB13FE">
        <w:tblPrEx>
          <w:tblW w:w="5000" w:type="pct"/>
          <w:tblLayout w:type="fixed"/>
          <w:tblLook w:val="0000"/>
        </w:tblPrEx>
        <w:tc>
          <w:tcPr>
            <w:tcW w:w="607" w:type="dxa"/>
          </w:tcPr>
          <w:p w:rsidR="00F85C99" w:rsidRPr="002F6A28" w:rsidP="002F6A28" w14:paraId="37BDBC64" w14:textId="77777777">
            <w:pPr>
              <w:spacing w:before="120" w:after="120"/>
              <w:jc w:val="left"/>
              <w:rPr>
                <w:b/>
              </w:rPr>
            </w:pPr>
            <w:r w:rsidRPr="002F6A28">
              <w:rPr>
                <w:b/>
              </w:rPr>
              <w:t>3.</w:t>
            </w:r>
          </w:p>
        </w:tc>
        <w:tc>
          <w:tcPr>
            <w:tcW w:w="8373" w:type="dxa"/>
          </w:tcPr>
          <w:p w:rsidR="00F85C99" w:rsidRPr="0058336F" w:rsidP="002F6A28" w14:paraId="04F11881"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9C3FA34" w14:textId="77777777" w:rsidTr="00DB13FE">
        <w:tblPrEx>
          <w:tblW w:w="5000" w:type="pct"/>
          <w:tblLayout w:type="fixed"/>
          <w:tblLook w:val="0000"/>
        </w:tblPrEx>
        <w:tc>
          <w:tcPr>
            <w:tcW w:w="607" w:type="dxa"/>
          </w:tcPr>
          <w:p w:rsidR="00F85C99" w:rsidRPr="002F6A28" w:rsidP="002F6A28" w14:paraId="00FBC3BF" w14:textId="77777777">
            <w:pPr>
              <w:spacing w:before="120" w:after="120"/>
              <w:jc w:val="left"/>
            </w:pPr>
            <w:r w:rsidRPr="002F6A28">
              <w:rPr>
                <w:b/>
              </w:rPr>
              <w:t>4.</w:t>
            </w:r>
          </w:p>
        </w:tc>
        <w:tc>
          <w:tcPr>
            <w:tcW w:w="8373" w:type="dxa"/>
          </w:tcPr>
          <w:p w:rsidR="00F85C99" w:rsidRPr="002F6A28" w:rsidP="002F6A28" w14:paraId="5591144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Precursor chemicals and certain equipment (i.e. pill presses and encapsulators) that are controlled in Canada because they can be used in illegal drug production. </w:t>
            </w:r>
          </w:p>
        </w:tc>
      </w:tr>
      <w:tr w14:paraId="3161E245" w14:textId="77777777" w:rsidTr="00DB13FE">
        <w:tblPrEx>
          <w:tblW w:w="5000" w:type="pct"/>
          <w:tblLayout w:type="fixed"/>
          <w:tblLook w:val="0000"/>
        </w:tblPrEx>
        <w:tc>
          <w:tcPr>
            <w:tcW w:w="607" w:type="dxa"/>
          </w:tcPr>
          <w:p w:rsidR="00F85C99" w:rsidRPr="002F6A28" w:rsidP="002F6A28" w14:paraId="2E627F59" w14:textId="77777777">
            <w:pPr>
              <w:spacing w:before="120" w:after="120"/>
              <w:jc w:val="left"/>
            </w:pPr>
            <w:r w:rsidRPr="002F6A28">
              <w:rPr>
                <w:b/>
              </w:rPr>
              <w:t>5.</w:t>
            </w:r>
          </w:p>
        </w:tc>
        <w:tc>
          <w:tcPr>
            <w:tcW w:w="8373" w:type="dxa"/>
          </w:tcPr>
          <w:p w:rsidR="00F85C99" w:rsidP="002F6A28" w14:paraId="13BC46B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w:t>
            </w:r>
            <w:r w:rsidRPr="00C379C8" w:rsidR="00EE3A11">
              <w:rPr>
                <w:i/>
                <w:iCs/>
              </w:rPr>
              <w:t>Regulations Amending the Precursor Control Regulations (Increased Regulatory Oversight)</w:t>
            </w:r>
            <w:r w:rsidRPr="00C379C8" w:rsidR="00EE3A11">
              <w:t xml:space="preserve"> (20 pages, in English and French, </w:t>
            </w:r>
            <w:r w:rsidRPr="00C379C8" w:rsidR="00EE3A11">
              <w:rPr>
                <w:i/>
                <w:iCs/>
              </w:rPr>
              <w:t>Canada Gazette</w:t>
            </w:r>
            <w:r w:rsidRPr="00C379C8" w:rsidR="00EE3A11">
              <w:t xml:space="preserve"> website)</w:t>
            </w:r>
          </w:p>
          <w:p w:rsidR="00EE3A11" w:rsidRPr="00C379C8" w:rsidP="002F6A28" w14:paraId="38F26620" w14:textId="77777777">
            <w:pPr>
              <w:spacing w:before="120" w:after="120"/>
            </w:pPr>
            <w:r w:rsidRPr="00C379C8">
              <w:rPr>
                <w:i/>
                <w:iCs/>
              </w:rPr>
              <w:t xml:space="preserve">Order Amending Schedule IX to the Controlled Drugs and Substances Act </w:t>
            </w:r>
            <w:r w:rsidRPr="00C379C8">
              <w:t>(2 pages, in English and French)</w:t>
            </w:r>
          </w:p>
          <w:p w:rsidR="000C3B6C" w:rsidRPr="000C3B6C" w:rsidP="002F6A28" w14:paraId="4644AC9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C0086" w:rsidRPr="00CE6C29" w:rsidP="002F6A28" w14:paraId="539D39CD" w14:textId="77777777">
            <w:pPr>
              <w:rPr>
                <w:iCs/>
              </w:rPr>
            </w:pPr>
            <w:hyperlink r:id="rId6" w:tgtFrame="_blank" w:history="1">
              <w:r w:rsidRPr="00CE6C29">
                <w:rPr>
                  <w:iCs/>
                  <w:color w:val="0000FF"/>
                  <w:u w:val="single"/>
                </w:rPr>
                <w:t>https://gazette.gc.ca/rp-pr/p2/2025/2025-12-17/html/sor-dors260-eng.html</w:t>
              </w:r>
            </w:hyperlink>
          </w:p>
          <w:p w:rsidR="004C0086" w:rsidRPr="00CE6C29" w:rsidP="002F6A28" w14:paraId="51BF425E" w14:textId="77777777">
            <w:pPr>
              <w:spacing w:after="120"/>
              <w:rPr>
                <w:iCs/>
              </w:rPr>
            </w:pPr>
            <w:hyperlink r:id="rId7" w:tgtFrame="_blank" w:history="1">
              <w:r w:rsidRPr="00CE6C29">
                <w:rPr>
                  <w:iCs/>
                  <w:color w:val="0000FF"/>
                  <w:u w:val="single"/>
                </w:rPr>
                <w:t>https://gazette.gc.ca/rp-pr/p2/2025/2025-12-17/html/sor-dors261-eng.html</w:t>
              </w:r>
            </w:hyperlink>
          </w:p>
        </w:tc>
      </w:tr>
      <w:tr w14:paraId="2FB730A8" w14:textId="77777777" w:rsidTr="00DB13FE">
        <w:tblPrEx>
          <w:tblW w:w="5000" w:type="pct"/>
          <w:tblLayout w:type="fixed"/>
          <w:tblLook w:val="0000"/>
        </w:tblPrEx>
        <w:tc>
          <w:tcPr>
            <w:tcW w:w="607" w:type="dxa"/>
          </w:tcPr>
          <w:p w:rsidR="00F85C99" w:rsidRPr="002F6A28" w:rsidP="002F6A28" w14:paraId="13324DE8" w14:textId="77777777">
            <w:pPr>
              <w:spacing w:before="120" w:after="120"/>
              <w:jc w:val="left"/>
              <w:rPr>
                <w:b/>
              </w:rPr>
            </w:pPr>
            <w:r w:rsidRPr="002F6A28">
              <w:rPr>
                <w:b/>
              </w:rPr>
              <w:t>6.</w:t>
            </w:r>
          </w:p>
        </w:tc>
        <w:tc>
          <w:tcPr>
            <w:tcW w:w="8373" w:type="dxa"/>
          </w:tcPr>
          <w:p w:rsidR="00F85C99" w:rsidRPr="002F6A28" w:rsidP="002F6A28" w14:paraId="0BE372C9" w14:textId="77777777">
            <w:pPr>
              <w:spacing w:before="120" w:after="120"/>
              <w:rPr>
                <w:b/>
              </w:rPr>
            </w:pPr>
            <w:r w:rsidRPr="002F6A28">
              <w:rPr>
                <w:b/>
              </w:rPr>
              <w:t>Description of content:</w:t>
            </w:r>
            <w:r w:rsidRPr="00C379C8" w:rsidR="00FE448B">
              <w:t xml:space="preserve"> The purpose of this notification is to let members know that Health Canada published final amendments to the </w:t>
            </w:r>
            <w:r w:rsidRPr="00C379C8" w:rsidR="00FE448B">
              <w:rPr>
                <w:i/>
                <w:iCs/>
              </w:rPr>
              <w:t xml:space="preserve">Precursor Control Regulations </w:t>
            </w:r>
            <w:r w:rsidRPr="00C379C8" w:rsidR="00FE448B">
              <w:t xml:space="preserve">(PCR) and to Schedule IX of the </w:t>
            </w:r>
            <w:r w:rsidRPr="00C379C8" w:rsidR="00FE448B">
              <w:rPr>
                <w:i/>
                <w:iCs/>
              </w:rPr>
              <w:t>Controlled Drugs and Substances Act</w:t>
            </w:r>
            <w:r w:rsidRPr="00C379C8" w:rsidR="00FE448B">
              <w:t xml:space="preserve"> (CDSA) on December 17, 2025. These amendments will increase regulatory oversight of precursor chemicals and designated devices and also increase Health Canada's regulatory flexibility and agility.</w:t>
            </w:r>
          </w:p>
        </w:tc>
      </w:tr>
      <w:tr w14:paraId="610B883E" w14:textId="77777777" w:rsidTr="00DB13FE">
        <w:tblPrEx>
          <w:tblW w:w="5000" w:type="pct"/>
          <w:tblLayout w:type="fixed"/>
          <w:tblLook w:val="0000"/>
        </w:tblPrEx>
        <w:tc>
          <w:tcPr>
            <w:tcW w:w="607" w:type="dxa"/>
          </w:tcPr>
          <w:p w:rsidR="00F85C99" w:rsidRPr="002F6A28" w:rsidP="002F6A28" w14:paraId="21D27A3F" w14:textId="77777777">
            <w:pPr>
              <w:spacing w:before="120" w:after="120"/>
              <w:jc w:val="left"/>
              <w:rPr>
                <w:b/>
              </w:rPr>
            </w:pPr>
            <w:r w:rsidRPr="002F6A28">
              <w:rPr>
                <w:b/>
              </w:rPr>
              <w:t>7.</w:t>
            </w:r>
          </w:p>
        </w:tc>
        <w:tc>
          <w:tcPr>
            <w:tcW w:w="8373" w:type="dxa"/>
          </w:tcPr>
          <w:p w:rsidR="00F85C99" w:rsidRPr="002F6A28" w:rsidP="002F6A28" w14:paraId="22A874DE" w14:textId="77777777">
            <w:pPr>
              <w:spacing w:before="120" w:after="120"/>
              <w:rPr>
                <w:b/>
              </w:rPr>
            </w:pPr>
            <w:r w:rsidRPr="002F6A28">
              <w:rPr>
                <w:b/>
              </w:rPr>
              <w:t>Objective and rationale, including the nature of urgent problems where applicable:</w:t>
            </w:r>
            <w:r w:rsidRPr="00C379C8" w:rsidR="00EE3A11">
              <w:t xml:space="preserve"> Canada's opioid overdose crisis remains a significant and complex public health and public safety issue in Canada that impacts individuals, families and communities. Most of the overdose deaths in Canada involve illegally produced fentanyl. Canadian law enforcement agencies have noticed an increase in the domestic production of illegal fentanyl and fentanyl analogues in clandestine laboratories by organized crime groups as well as the illegal importation and diversion of chemical ingredients (precursors) and drug manufacturing equipment (designated devices) used to support illegal drug production.</w:t>
            </w:r>
          </w:p>
          <w:p w:rsidR="00EE3A11" w:rsidRPr="00C379C8" w:rsidP="002F6A28" w14:paraId="3398220B" w14:textId="77777777">
            <w:pPr>
              <w:spacing w:before="120" w:after="120"/>
            </w:pPr>
            <w:r w:rsidRPr="00C379C8">
              <w:t>In response, Canadian law and border enforcement agencies have targeted precursors and designated devices entering Canada. To support these efforts, the Government of Canada has made targeted amendments to the PCR and to Schedule IX to the CDSA that will increase regulatory oversight of precursors and designated devices.</w:t>
            </w:r>
          </w:p>
          <w:p w:rsidR="00EE3A11" w:rsidRPr="00C379C8" w:rsidP="002F6A28" w14:paraId="6E5EDF14" w14:textId="77777777">
            <w:pPr>
              <w:spacing w:before="120" w:after="120"/>
            </w:pPr>
            <w:r w:rsidRPr="00C379C8">
              <w:t>These amendments are designed to balance public safety with trade facilitation and are not expected to create unnecessary barriers to legitimate importation or exportation.</w:t>
            </w:r>
          </w:p>
          <w:p w:rsidR="00EE3A11" w:rsidRPr="00C379C8" w:rsidP="002F6A28" w14:paraId="48A0EF5C" w14:textId="77777777">
            <w:pPr>
              <w:spacing w:before="120" w:after="120"/>
            </w:pPr>
            <w:r w:rsidRPr="00C379C8">
              <w:t>Under the CDSA, it remains prohibited to import a designated device into Canada without prior registration with Health Canada. The new amendments expand import registration requirements to include certain component parts (i.e. punches, moulds and dies) suitable for use in a designated device. As with current practice, importers must present proof of registration at the time of importation.</w:t>
            </w:r>
          </w:p>
        </w:tc>
      </w:tr>
      <w:tr w14:paraId="2E4B29DC" w14:textId="77777777" w:rsidTr="00DB13FE">
        <w:tblPrEx>
          <w:tblW w:w="5000" w:type="pct"/>
          <w:tblLayout w:type="fixed"/>
          <w:tblLook w:val="0000"/>
        </w:tblPrEx>
        <w:tc>
          <w:tcPr>
            <w:tcW w:w="607" w:type="dxa"/>
          </w:tcPr>
          <w:p w:rsidR="00F85C99" w:rsidRPr="002F6A28" w:rsidP="009E75ED" w14:paraId="12769AFA" w14:textId="77777777">
            <w:pPr>
              <w:spacing w:before="120" w:after="120"/>
              <w:jc w:val="left"/>
              <w:rPr>
                <w:b/>
              </w:rPr>
            </w:pPr>
            <w:r w:rsidRPr="002F6A28">
              <w:rPr>
                <w:b/>
              </w:rPr>
              <w:t>8.</w:t>
            </w:r>
          </w:p>
        </w:tc>
        <w:tc>
          <w:tcPr>
            <w:tcW w:w="8373" w:type="dxa"/>
          </w:tcPr>
          <w:p w:rsidR="000C3B6C" w:rsidRPr="00EC00D2" w:rsidP="007F13E8" w14:paraId="6B24243C" w14:textId="77777777">
            <w:pPr>
              <w:spacing w:before="120" w:after="120"/>
              <w:rPr>
                <w:bCs/>
              </w:rPr>
            </w:pPr>
            <w:r w:rsidRPr="002F6A28">
              <w:rPr>
                <w:b/>
              </w:rPr>
              <w:t>Relevant documents:</w:t>
            </w:r>
            <w:r w:rsidRPr="002F6A28" w:rsidR="00EE3A11">
              <w:t xml:space="preserve"> </w:t>
            </w:r>
          </w:p>
          <w:p w:rsidR="00EE3A11" w:rsidRPr="002F6A28" w:rsidP="007F13E8" w14:paraId="648F1392" w14:textId="77777777">
            <w:pPr>
              <w:spacing w:before="120" w:after="120"/>
            </w:pPr>
            <w:r w:rsidRPr="002F6A28">
              <w:t>Notice of intent: Proposal to amend the regulations for precursors and designated devices under the Controlled Drugs and Substances Act</w:t>
            </w:r>
            <w:r w:rsidRPr="002F6A28">
              <w:rPr>
                <w:i/>
                <w:iCs/>
              </w:rPr>
              <w:t xml:space="preserve"> </w:t>
            </w:r>
            <w:r w:rsidRPr="002F6A28">
              <w:t xml:space="preserve">: </w:t>
            </w:r>
            <w:hyperlink r:id="rId8" w:anchor="ne7" w:history="1">
              <w:r w:rsidRPr="002F6A28">
                <w:rPr>
                  <w:color w:val="0000FF"/>
                  <w:u w:val="single"/>
                </w:rPr>
                <w:t>https://gazette.gc.ca/rp-pr/p1/2025/2025-02-01/html/notice-avis-eng.html#ne7</w:t>
              </w:r>
            </w:hyperlink>
            <w:r w:rsidRPr="002F6A28">
              <w:t>,</w:t>
            </w:r>
            <w:r w:rsidRPr="002F6A28">
              <w:rPr>
                <w:i/>
                <w:iCs/>
              </w:rPr>
              <w:t xml:space="preserve"> </w:t>
            </w:r>
            <w:r w:rsidRPr="002F6A28">
              <w:t>(available in English and French)</w:t>
            </w:r>
          </w:p>
          <w:p w:rsidR="00EE3A11" w:rsidRPr="002F6A28" w:rsidP="007F13E8" w14:paraId="5FEEB8F4" w14:textId="77777777">
            <w:pPr>
              <w:spacing w:before="120" w:after="120"/>
            </w:pPr>
            <w:r w:rsidRPr="002F6A28">
              <w:t xml:space="preserve">Regulations Amending the Precursor Control Regulations (Increased Regulatory Oversight) : </w:t>
            </w:r>
            <w:hyperlink r:id="rId9" w:history="1">
              <w:r w:rsidRPr="002F6A28">
                <w:rPr>
                  <w:color w:val="0000FF"/>
                  <w:u w:val="single"/>
                </w:rPr>
                <w:t>https://gazette.gc.ca/rp-pr/p1/2025/2025-06-28/html/reg2-eng.html</w:t>
              </w:r>
            </w:hyperlink>
            <w:r w:rsidRPr="002F6A28">
              <w:t>, (available in English and French)</w:t>
            </w:r>
          </w:p>
          <w:p w:rsidR="00EE3A11" w:rsidRPr="002F6A28" w:rsidP="007F13E8" w14:paraId="643A5E93" w14:textId="77777777">
            <w:pPr>
              <w:spacing w:before="120" w:after="120"/>
            </w:pPr>
            <w:r w:rsidRPr="002F6A28">
              <w:t xml:space="preserve">Order Amending Schedule IX to the Controlled Drugs and Substances Act : </w:t>
            </w:r>
            <w:hyperlink r:id="rId10" w:history="1">
              <w:r w:rsidRPr="002F6A28">
                <w:rPr>
                  <w:color w:val="0000FF"/>
                  <w:u w:val="single"/>
                </w:rPr>
                <w:t>https://gazette.gc.ca/rp-pr/p1/2025/2025-06-28/html/reg3-eng.html</w:t>
              </w:r>
            </w:hyperlink>
            <w:r w:rsidRPr="002F6A28">
              <w:t>, (available in English and French)</w:t>
            </w:r>
          </w:p>
        </w:tc>
      </w:tr>
      <w:tr w14:paraId="6883D6CA" w14:textId="77777777" w:rsidTr="00DB13FE">
        <w:tblPrEx>
          <w:tblW w:w="5000" w:type="pct"/>
          <w:tblLayout w:type="fixed"/>
          <w:tblLook w:val="0000"/>
        </w:tblPrEx>
        <w:tc>
          <w:tcPr>
            <w:tcW w:w="607" w:type="dxa"/>
          </w:tcPr>
          <w:p w:rsidR="00EE3A11" w:rsidRPr="002F6A28" w:rsidP="002F6A28" w14:paraId="1491AB73" w14:textId="77777777">
            <w:pPr>
              <w:spacing w:before="120" w:after="120"/>
              <w:jc w:val="left"/>
              <w:rPr>
                <w:b/>
              </w:rPr>
            </w:pPr>
            <w:r w:rsidRPr="002F6A28">
              <w:rPr>
                <w:b/>
              </w:rPr>
              <w:t>9.</w:t>
            </w:r>
          </w:p>
        </w:tc>
        <w:tc>
          <w:tcPr>
            <w:tcW w:w="8373" w:type="dxa"/>
          </w:tcPr>
          <w:p w:rsidR="00EE3A11" w:rsidRPr="002F6A28" w:rsidP="008953C4" w14:paraId="336B1C0A" w14:textId="77777777">
            <w:pPr>
              <w:spacing w:before="120" w:after="120"/>
            </w:pPr>
            <w:r w:rsidRPr="002F6A28">
              <w:rPr>
                <w:b/>
              </w:rPr>
              <w:t>Proposed date of adoption:</w:t>
            </w:r>
            <w:r w:rsidRPr="00C379C8">
              <w:t xml:space="preserve"> The final regulations will be adopted on the day of publication in the Canada Gazette, Part II which is targeted for December 17, 2025.</w:t>
            </w:r>
          </w:p>
          <w:p w:rsidR="00EE3A11" w:rsidRPr="002F6A28" w:rsidP="008953C4" w14:paraId="2F1F8D7E" w14:textId="77777777">
            <w:pPr>
              <w:spacing w:after="120"/>
            </w:pPr>
            <w:r w:rsidRPr="002F6A28">
              <w:rPr>
                <w:b/>
              </w:rPr>
              <w:t>Proposed date of entry into force:</w:t>
            </w:r>
            <w:r w:rsidRPr="00C379C8">
              <w:t xml:space="preserve"> The final amendments will come into force on the day of publication in the Canada Gazette, Part II with a six-month transition period for the following two requirements: mandatory reporting of suspicious transactions involving precursors by licensed and registered dealers to Health Canada and requiring licensed dealers handling Class A precursors to take reasonable measures to ensure their employees do not contribute to a risk of diverting precursors to illegal market and use. These two requirements will c</w:t>
            </w:r>
            <w:r w:rsidRPr="00C379C8">
              <w:t>ome into force on the 180th day after the day the amendments are published in the Canada Gazette, Part II.</w:t>
            </w:r>
          </w:p>
        </w:tc>
      </w:tr>
      <w:tr w14:paraId="505230BB" w14:textId="77777777" w:rsidTr="00DB13FE">
        <w:tblPrEx>
          <w:tblW w:w="5000" w:type="pct"/>
          <w:tblLayout w:type="fixed"/>
          <w:tblLook w:val="0000"/>
        </w:tblPrEx>
        <w:tc>
          <w:tcPr>
            <w:tcW w:w="607" w:type="dxa"/>
            <w:tcBorders>
              <w:bottom w:val="double" w:sz="4" w:space="0" w:color="auto"/>
            </w:tcBorders>
          </w:tcPr>
          <w:p w:rsidR="00F85C99" w:rsidRPr="002F6A28" w:rsidP="002F6A28" w14:paraId="24D3F02E"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1B1E4A8"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09DF9F7" w14:textId="77777777">
            <w:pPr>
              <w:spacing w:before="120" w:after="120"/>
              <w:rPr>
                <w:bCs/>
              </w:rPr>
            </w:pPr>
            <w:r w:rsidRPr="002F6A28">
              <w:rPr>
                <w:b/>
              </w:rPr>
              <w:t>Final date for comments:</w:t>
            </w:r>
            <w:r w:rsidRPr="00C379C8" w:rsidR="00EE3A11">
              <w:t xml:space="preserve"> Not Applicable</w:t>
            </w:r>
          </w:p>
          <w:p w:rsidR="000C3B6C" w:rsidRPr="00E3324D" w:rsidP="000C3B6C" w14:paraId="578B5929"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17E8715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B5091E2" w14:textId="77777777">
            <w:r w:rsidRPr="00CE6C29">
              <w:t>Canada's Notification Authority and Enquiry Point</w:t>
            </w:r>
          </w:p>
          <w:p w:rsidR="00CE6C29" w:rsidRPr="00CE6C29" w:rsidP="000C3B6C" w14:paraId="6CF97A4B" w14:textId="77777777">
            <w:r w:rsidRPr="00CE6C29">
              <w:t>Global Affairs Canada</w:t>
            </w:r>
          </w:p>
          <w:p w:rsidR="00CE6C29" w:rsidRPr="00CE6C29" w:rsidP="000C3B6C" w14:paraId="39D57E5E" w14:textId="77777777">
            <w:r w:rsidRPr="00CE6C29">
              <w:t>Technical Barriers and Regulations Division</w:t>
            </w:r>
          </w:p>
          <w:p w:rsidR="00CE6C29" w:rsidRPr="00CE6C29" w:rsidP="000C3B6C" w14:paraId="4E5D9E03" w14:textId="77777777">
            <w:r w:rsidRPr="00CE6C29">
              <w:t>111 Sussex Drive</w:t>
            </w:r>
          </w:p>
          <w:p w:rsidR="00CE6C29" w:rsidRPr="00CE6C29" w:rsidP="000C3B6C" w14:paraId="7883A5F7" w14:textId="77777777">
            <w:r w:rsidRPr="00CE6C29">
              <w:t>Ottawa, ON K1A 0G2, Canada</w:t>
            </w:r>
          </w:p>
          <w:p w:rsidR="00CE6C29" w:rsidRPr="00CE6C29" w:rsidP="000C3B6C" w14:paraId="6D82DC81" w14:textId="77777777">
            <w:pPr>
              <w:spacing w:after="120"/>
            </w:pPr>
            <w:r w:rsidRPr="00CE6C29">
              <w:t xml:space="preserve">Email: </w:t>
            </w:r>
            <w:hyperlink r:id="rId11" w:history="1">
              <w:r w:rsidRPr="00CE6C29">
                <w:rPr>
                  <w:color w:val="0000FF"/>
                  <w:u w:val="single"/>
                </w:rPr>
                <w:t>enquirypoint@international.gc.ca</w:t>
              </w:r>
            </w:hyperlink>
          </w:p>
        </w:tc>
      </w:tr>
    </w:tbl>
    <w:p w:rsidR="00EE3A11" w:rsidRPr="002F6A28" w:rsidP="00887259" w14:paraId="7C24571D"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B1BF8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3FFFA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74ECC5A"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2F54A67" w14:textId="77777777">
    <w:pPr>
      <w:pStyle w:val="Header"/>
      <w:pBdr>
        <w:bottom w:val="single" w:sz="4" w:space="1" w:color="auto"/>
      </w:pBdr>
      <w:tabs>
        <w:tab w:val="clear" w:pos="4513"/>
        <w:tab w:val="clear" w:pos="9027"/>
      </w:tabs>
      <w:jc w:val="center"/>
    </w:pPr>
    <w:r w:rsidRPr="002F6A28">
      <w:t>tbtSymbol</w:t>
    </w:r>
  </w:p>
  <w:p w:rsidR="009239F7" w:rsidRPr="002F6A28" w:rsidP="009239F7" w14:paraId="573419DF" w14:textId="77777777">
    <w:pPr>
      <w:pStyle w:val="Header"/>
      <w:pBdr>
        <w:bottom w:val="single" w:sz="4" w:space="1" w:color="auto"/>
      </w:pBdr>
      <w:tabs>
        <w:tab w:val="clear" w:pos="4513"/>
        <w:tab w:val="clear" w:pos="9027"/>
      </w:tabs>
      <w:jc w:val="center"/>
    </w:pPr>
  </w:p>
  <w:p w:rsidR="009239F7" w:rsidRPr="002F6A28" w:rsidP="009239F7" w14:paraId="04D172A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228470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6CFFFFA" w14:textId="77777777">
    <w:pPr>
      <w:pStyle w:val="Header"/>
      <w:pBdr>
        <w:bottom w:val="single" w:sz="4" w:space="1" w:color="auto"/>
      </w:pBdr>
      <w:tabs>
        <w:tab w:val="clear" w:pos="4513"/>
        <w:tab w:val="clear" w:pos="9027"/>
      </w:tabs>
      <w:jc w:val="center"/>
    </w:pPr>
    <w:bookmarkStart w:id="0" w:name="spsSymbolHeader"/>
    <w:r w:rsidRPr="002F6A28">
      <w:t>G/TBT/N/CAN/761</w:t>
    </w:r>
    <w:bookmarkEnd w:id="0"/>
  </w:p>
  <w:p w:rsidR="009239F7" w:rsidRPr="002F6A28" w:rsidP="009239F7" w14:paraId="749BD6CF" w14:textId="77777777">
    <w:pPr>
      <w:pStyle w:val="Header"/>
      <w:pBdr>
        <w:bottom w:val="single" w:sz="4" w:space="1" w:color="auto"/>
      </w:pBdr>
      <w:tabs>
        <w:tab w:val="clear" w:pos="4513"/>
        <w:tab w:val="clear" w:pos="9027"/>
      </w:tabs>
      <w:jc w:val="center"/>
    </w:pPr>
  </w:p>
  <w:p w:rsidR="009239F7" w:rsidRPr="002F6A28" w:rsidP="009239F7" w14:paraId="198CBDD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75C61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FBCC7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DD5CF7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E85B849" w14:textId="77777777">
          <w:pPr>
            <w:jc w:val="right"/>
            <w:rPr>
              <w:b/>
              <w:color w:val="FF0000"/>
              <w:szCs w:val="16"/>
            </w:rPr>
          </w:pPr>
        </w:p>
      </w:tc>
    </w:tr>
    <w:bookmarkEnd w:id="1"/>
    <w:tr w14:paraId="4191C33E"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8DFEC7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804988" w14:textId="77777777">
          <w:pPr>
            <w:jc w:val="right"/>
            <w:rPr>
              <w:b/>
              <w:szCs w:val="16"/>
            </w:rPr>
          </w:pPr>
        </w:p>
      </w:tc>
    </w:tr>
    <w:tr w14:paraId="6810BCF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FFBFD6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1348CF7" w14:textId="77777777">
          <w:pPr>
            <w:jc w:val="right"/>
            <w:rPr>
              <w:b/>
              <w:szCs w:val="16"/>
            </w:rPr>
          </w:pPr>
          <w:bookmarkStart w:id="2" w:name="bmkSymbols"/>
          <w:r w:rsidRPr="002F6A28">
            <w:rPr>
              <w:b/>
              <w:szCs w:val="16"/>
            </w:rPr>
            <w:t>G/TBT/N/CAN/761</w:t>
          </w:r>
          <w:bookmarkEnd w:id="2"/>
        </w:p>
      </w:tc>
    </w:tr>
    <w:tr w14:paraId="4F3B049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52D41E4" w14:textId="77777777"/>
      </w:tc>
      <w:tc>
        <w:tcPr>
          <w:tcW w:w="5448" w:type="dxa"/>
          <w:gridSpan w:val="2"/>
          <w:shd w:val="clear" w:color="auto" w:fill="FFFFFF"/>
          <w:tcMar>
            <w:left w:w="108" w:type="dxa"/>
            <w:right w:w="108" w:type="dxa"/>
          </w:tcMar>
          <w:vAlign w:val="center"/>
        </w:tcPr>
        <w:p w:rsidR="00ED54E0" w:rsidRPr="009239F7" w:rsidP="00B801E9" w14:paraId="1445A797" w14:textId="77777777">
          <w:pPr>
            <w:jc w:val="right"/>
            <w:rPr>
              <w:szCs w:val="16"/>
            </w:rPr>
          </w:pPr>
          <w:bookmarkStart w:id="3" w:name="spsDateDistribution"/>
          <w:bookmarkStart w:id="4" w:name="bmkDate"/>
          <w:r w:rsidRPr="009239F7">
            <w:rPr>
              <w:szCs w:val="16"/>
            </w:rPr>
            <w:t>18 December 2025</w:t>
          </w:r>
          <w:bookmarkEnd w:id="3"/>
          <w:bookmarkEnd w:id="4"/>
        </w:p>
      </w:tc>
    </w:tr>
    <w:tr w14:paraId="4FBB8E7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62B6880" w14:textId="77777777">
          <w:pPr>
            <w:jc w:val="left"/>
            <w:rPr>
              <w:b/>
            </w:rPr>
          </w:pPr>
          <w:bookmarkStart w:id="5" w:name="bmkSerial"/>
          <w:r>
            <w:rPr>
              <w:rFonts w:ascii="Verdana" w:eastAsia="Verdana" w:hAnsi="Verdana" w:cs="Verdana"/>
              <w:b w:val="0"/>
              <w:color w:val="FF0000"/>
              <w:sz w:val="18"/>
            </w:rPr>
            <w:t>(25-8629)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A54BBF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2E0925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954D9E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7390E25"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 French</w:t>
          </w:r>
          <w:bookmarkEnd w:id="9"/>
          <w:bookmarkEnd w:id="8"/>
        </w:p>
      </w:tc>
    </w:tr>
  </w:tbl>
  <w:p w:rsidR="00ED54E0" w:rsidRPr="002F6A28" w14:paraId="5C5BA3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17798815">
    <w:abstractNumId w:val="9"/>
  </w:num>
  <w:num w:numId="2" w16cid:durableId="411047954">
    <w:abstractNumId w:val="7"/>
  </w:num>
  <w:num w:numId="3" w16cid:durableId="29261478">
    <w:abstractNumId w:val="6"/>
  </w:num>
  <w:num w:numId="4" w16cid:durableId="141627249">
    <w:abstractNumId w:val="5"/>
  </w:num>
  <w:num w:numId="5" w16cid:durableId="1456755474">
    <w:abstractNumId w:val="4"/>
  </w:num>
  <w:num w:numId="6" w16cid:durableId="375011873">
    <w:abstractNumId w:val="12"/>
  </w:num>
  <w:num w:numId="7" w16cid:durableId="1434013597">
    <w:abstractNumId w:val="11"/>
  </w:num>
  <w:num w:numId="8" w16cid:durableId="2028749837">
    <w:abstractNumId w:val="10"/>
  </w:num>
  <w:num w:numId="9" w16cid:durableId="15573522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8678990">
    <w:abstractNumId w:val="13"/>
  </w:num>
  <w:num w:numId="11" w16cid:durableId="242567497">
    <w:abstractNumId w:val="8"/>
  </w:num>
  <w:num w:numId="12" w16cid:durableId="1105147776">
    <w:abstractNumId w:val="3"/>
  </w:num>
  <w:num w:numId="13" w16cid:durableId="1921450218">
    <w:abstractNumId w:val="2"/>
  </w:num>
  <w:num w:numId="14" w16cid:durableId="1988584368">
    <w:abstractNumId w:val="1"/>
  </w:num>
  <w:num w:numId="15" w16cid:durableId="1822503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158A8"/>
    <w:rsid w:val="004423A4"/>
    <w:rsid w:val="00467032"/>
    <w:rsid w:val="0046754A"/>
    <w:rsid w:val="00473B57"/>
    <w:rsid w:val="0048173D"/>
    <w:rsid w:val="004A23F8"/>
    <w:rsid w:val="004C0086"/>
    <w:rsid w:val="004C274C"/>
    <w:rsid w:val="004C27A4"/>
    <w:rsid w:val="004E51B2"/>
    <w:rsid w:val="004F203A"/>
    <w:rsid w:val="005104AF"/>
    <w:rsid w:val="0052601B"/>
    <w:rsid w:val="005336B8"/>
    <w:rsid w:val="00533DC1"/>
    <w:rsid w:val="0053683E"/>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ACC23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azette.gc.ca/rp-pr/p1/2025/2025-06-28/html/reg3-eng.html" TargetMode="External" /><Relationship Id="rId11" Type="http://schemas.openxmlformats.org/officeDocument/2006/relationships/hyperlink" Target="mailto:enquirypoint@international.gc.c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gazette.gc.ca/rp-pr/p2/2025/2025-12-17/html/sor-dors260-eng.html" TargetMode="External" /><Relationship Id="rId7" Type="http://schemas.openxmlformats.org/officeDocument/2006/relationships/hyperlink" Target="https://gazette.gc.ca/rp-pr/p2/2025/2025-12-17/html/sor-dors261-eng.html" TargetMode="External" /><Relationship Id="rId8" Type="http://schemas.openxmlformats.org/officeDocument/2006/relationships/hyperlink" Target="https://gazette.gc.ca/rp-pr/p1/2025/2025-02-01/html/notice-avis-eng.html" TargetMode="External" /><Relationship Id="rId9" Type="http://schemas.openxmlformats.org/officeDocument/2006/relationships/hyperlink" Target="https://gazette.gc.ca/rp-pr/p1/2025/2025-06-28/html/reg2-eng.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8EDF67F4-7B6D-4123-AAB4-B321EFADD1E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721</Words>
  <Characters>4903</Characters>
  <Application>Microsoft Office Word</Application>
  <DocSecurity>0</DocSecurity>
  <Lines>288</Lines>
  <Paragraphs>151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2025-12-18T10:13:00Z</dcterms:created>
  <dcterms:modified xsi:type="dcterms:W3CDTF">2025-12-18T10:13:00Z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