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30E373CC" w14:textId="77777777">
      <w:pPr>
        <w:pStyle w:val="Title"/>
      </w:pPr>
      <w:r w:rsidRPr="002F663C">
        <w:t>NOTIFICATION</w:t>
      </w:r>
    </w:p>
    <w:p w:rsidR="002F663C" w:rsidRPr="002F663C" w:rsidP="00DD3DD7" w14:paraId="20DE17AD" w14:textId="77777777">
      <w:pPr>
        <w:pStyle w:val="Title3"/>
      </w:pPr>
      <w:r w:rsidRPr="002F663C">
        <w:t>Addendum</w:t>
      </w:r>
    </w:p>
    <w:p w:rsidR="002F663C" w:rsidP="001E2E4A" w14:paraId="033F1507"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17 December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Canada</w:t>
      </w:r>
      <w:r w:rsidRPr="002F663C">
        <w:rPr>
          <w:rFonts w:eastAsia="Calibri" w:cs="Times New Roman"/>
        </w:rPr>
        <w:t>.</w:t>
      </w:r>
    </w:p>
    <w:p w:rsidR="001E2E4A" w:rsidRPr="002F663C" w:rsidP="001E2E4A" w14:paraId="26166478" w14:textId="77777777">
      <w:pPr>
        <w:rPr>
          <w:rFonts w:eastAsia="Calibri" w:cs="Times New Roman"/>
        </w:rPr>
      </w:pPr>
    </w:p>
    <w:p w:rsidR="002F663C" w:rsidRPr="002F663C" w:rsidP="002F663C" w14:paraId="4419088B" w14:textId="77777777">
      <w:pPr>
        <w:jc w:val="center"/>
        <w:rPr>
          <w:rFonts w:eastAsia="Calibri" w:cs="Times New Roman"/>
          <w:b/>
        </w:rPr>
      </w:pPr>
      <w:r w:rsidRPr="002F663C">
        <w:rPr>
          <w:rFonts w:eastAsia="Calibri" w:cs="Times New Roman"/>
          <w:b/>
        </w:rPr>
        <w:t>_______________</w:t>
      </w:r>
    </w:p>
    <w:p w:rsidR="002F663C" w:rsidP="002F663C" w14:paraId="0F6988C7" w14:textId="77777777">
      <w:pPr>
        <w:rPr>
          <w:rFonts w:eastAsia="Calibri" w:cs="Times New Roman"/>
        </w:rPr>
      </w:pPr>
    </w:p>
    <w:p w:rsidR="00C14444" w:rsidRPr="002F663C" w:rsidP="002F663C" w14:paraId="5EB0EA52" w14:textId="77777777">
      <w:pPr>
        <w:rPr>
          <w:rFonts w:eastAsia="Calibri" w:cs="Times New Roman"/>
        </w:rPr>
      </w:pPr>
    </w:p>
    <w:p w:rsidR="002F663C" w:rsidRPr="002F663C" w:rsidP="002F663C" w14:paraId="441A3630"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Exemption Order in Respect of Foods for a Special Dietary Purpose</w:t>
      </w:r>
    </w:p>
    <w:p w:rsidR="002F663C" w:rsidRPr="002F663C" w:rsidP="002F663C" w14:paraId="3C9DA694"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0A9FC8F"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070C5F20"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A82729B" w14:textId="77777777" w:rsidTr="00E9471B">
        <w:tblPrEx>
          <w:tblW w:w="9049" w:type="dxa"/>
          <w:tblLayout w:type="fixed"/>
          <w:tblLook w:val="04A0"/>
        </w:tblPrEx>
        <w:tc>
          <w:tcPr>
            <w:tcW w:w="851" w:type="dxa"/>
          </w:tcPr>
          <w:p w:rsidR="002F663C" w:rsidRPr="00711F9C" w:rsidP="00C14444" w14:paraId="144ABAB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11E8C962"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3E6E871" w14:textId="77777777" w:rsidTr="00E9471B">
        <w:tblPrEx>
          <w:tblW w:w="9049" w:type="dxa"/>
          <w:tblLayout w:type="fixed"/>
          <w:tblLook w:val="04A0"/>
        </w:tblPrEx>
        <w:tc>
          <w:tcPr>
            <w:tcW w:w="851" w:type="dxa"/>
          </w:tcPr>
          <w:p w:rsidR="002F663C" w:rsidRPr="00711F9C" w:rsidP="00C14444" w14:paraId="697376C4"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DA02638"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17 December 2025</w:t>
            </w:r>
          </w:p>
        </w:tc>
      </w:tr>
      <w:tr w14:paraId="14C0BFCD" w14:textId="77777777" w:rsidTr="00E9471B">
        <w:tblPrEx>
          <w:tblW w:w="9049" w:type="dxa"/>
          <w:tblLayout w:type="fixed"/>
          <w:tblLook w:val="04A0"/>
        </w:tblPrEx>
        <w:tc>
          <w:tcPr>
            <w:tcW w:w="851" w:type="dxa"/>
          </w:tcPr>
          <w:p w:rsidR="002F663C" w:rsidRPr="00711F9C" w:rsidP="00C14444" w14:paraId="5C70166F"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31982EE"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17 December 2025</w:t>
            </w:r>
          </w:p>
        </w:tc>
      </w:tr>
      <w:tr w14:paraId="0A0A5F2A" w14:textId="77777777" w:rsidTr="00E9471B">
        <w:tblPrEx>
          <w:tblW w:w="9049" w:type="dxa"/>
          <w:tblLayout w:type="fixed"/>
          <w:tblLook w:val="04A0"/>
        </w:tblPrEx>
        <w:tc>
          <w:tcPr>
            <w:tcW w:w="851" w:type="dxa"/>
          </w:tcPr>
          <w:p w:rsidR="002F663C" w:rsidRPr="00711F9C" w:rsidP="00C14444" w14:paraId="418ADF0F"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79C1626"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17 December 2025</w:t>
            </w:r>
          </w:p>
        </w:tc>
      </w:tr>
      <w:tr w14:paraId="7EDA5ECE" w14:textId="77777777" w:rsidTr="00E9471B">
        <w:tblPrEx>
          <w:tblW w:w="9049" w:type="dxa"/>
          <w:tblLayout w:type="fixed"/>
          <w:tblLook w:val="04A0"/>
        </w:tblPrEx>
        <w:tc>
          <w:tcPr>
            <w:tcW w:w="851" w:type="dxa"/>
          </w:tcPr>
          <w:p w:rsidR="002F663C" w:rsidRPr="00711F9C" w:rsidP="00C14444" w14:paraId="4AF179F1"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2CDFE86C"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24E430DB" w14:textId="77777777">
            <w:pPr>
              <w:spacing w:before="120" w:after="120"/>
              <w:rPr>
                <w:rFonts w:eastAsia="Calibri" w:cs="Times New Roman"/>
              </w:rPr>
            </w:pPr>
            <w:hyperlink r:id="rId7" w:tgtFrame="_blank" w:history="1">
              <w:r w:rsidRPr="002F663C">
                <w:rPr>
                  <w:rFonts w:eastAsia="Calibri" w:cs="Times New Roman"/>
                  <w:color w:val="0000FF"/>
                  <w:u w:val="single"/>
                </w:rPr>
                <w:t>https://gazette.gc.ca/rp-pr/p2/2025/2025-12-17/html/sor-dors248-eng.html</w:t>
              </w:r>
            </w:hyperlink>
            <w:r w:rsidRPr="002F663C" w:rsidR="008E40C3">
              <w:rPr>
                <w:rFonts w:eastAsia="Calibri" w:cs="Times New Roman"/>
              </w:rPr>
              <w:t xml:space="preserve"> (English)</w:t>
            </w:r>
          </w:p>
          <w:p w:rsidR="002F663C" w:rsidRPr="002F663C" w:rsidP="00EB7B40" w14:paraId="61330F2F" w14:textId="77777777">
            <w:pPr>
              <w:spacing w:before="120" w:after="120"/>
              <w:rPr>
                <w:rFonts w:eastAsia="Calibri" w:cs="Times New Roman"/>
              </w:rPr>
            </w:pPr>
            <w:hyperlink r:id="rId8" w:tgtFrame="_blank" w:history="1">
              <w:r w:rsidRPr="002F663C">
                <w:rPr>
                  <w:rFonts w:eastAsia="Calibri" w:cs="Times New Roman"/>
                  <w:color w:val="0000FF"/>
                  <w:u w:val="single"/>
                </w:rPr>
                <w:t>https://gazette.gc.ca/rp-pr/p2/2025/2025-12-17/html/sor-dors248-fra.html</w:t>
              </w:r>
            </w:hyperlink>
            <w:r w:rsidRPr="002F663C" w:rsidR="008E40C3">
              <w:rPr>
                <w:rFonts w:eastAsia="Calibri" w:cs="Times New Roman"/>
              </w:rPr>
              <w:t xml:space="preserve"> (French)</w:t>
            </w:r>
          </w:p>
        </w:tc>
      </w:tr>
      <w:tr w14:paraId="2A8F749E" w14:textId="77777777" w:rsidTr="00E9471B">
        <w:tblPrEx>
          <w:tblW w:w="9049" w:type="dxa"/>
          <w:tblLayout w:type="fixed"/>
          <w:tblLook w:val="04A0"/>
        </w:tblPrEx>
        <w:tc>
          <w:tcPr>
            <w:tcW w:w="851" w:type="dxa"/>
          </w:tcPr>
          <w:p w:rsidR="002F663C" w:rsidRPr="00711F9C" w:rsidP="00C14444" w14:paraId="1A73F1C9"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D0F63B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2705592"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9223F78" w14:textId="77777777" w:rsidTr="00E9471B">
        <w:tblPrEx>
          <w:tblW w:w="9049" w:type="dxa"/>
          <w:tblLayout w:type="fixed"/>
          <w:tblLook w:val="04A0"/>
        </w:tblPrEx>
        <w:tc>
          <w:tcPr>
            <w:tcW w:w="851" w:type="dxa"/>
          </w:tcPr>
          <w:p w:rsidR="002F663C" w:rsidRPr="00711F9C" w:rsidP="00C14444" w14:paraId="5C799C2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06965D4"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6745D0B"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0DEAE6F" w14:textId="77777777" w:rsidTr="00E9471B">
        <w:tblPrEx>
          <w:tblW w:w="9049" w:type="dxa"/>
          <w:tblLayout w:type="fixed"/>
          <w:tblLook w:val="04A0"/>
        </w:tblPrEx>
        <w:tc>
          <w:tcPr>
            <w:tcW w:w="851" w:type="dxa"/>
          </w:tcPr>
          <w:p w:rsidR="002F663C" w:rsidRPr="00711F9C" w:rsidP="00C14444" w14:paraId="11E9BB9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4ECE0690"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16631D7" w14:textId="77777777" w:rsidTr="00E9471B">
        <w:tblPrEx>
          <w:tblW w:w="9049" w:type="dxa"/>
          <w:tblLayout w:type="fixed"/>
          <w:tblLook w:val="04A0"/>
        </w:tblPrEx>
        <w:tc>
          <w:tcPr>
            <w:tcW w:w="851" w:type="dxa"/>
            <w:tcBorders>
              <w:bottom w:val="double" w:sz="4" w:space="0" w:color="auto"/>
            </w:tcBorders>
          </w:tcPr>
          <w:p w:rsidR="002F663C" w:rsidRPr="00711F9C" w:rsidP="00C14444" w14:paraId="09D6B64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0D1BDFD2"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4892C193" w14:textId="77777777">
      <w:pPr>
        <w:jc w:val="left"/>
        <w:rPr>
          <w:rFonts w:eastAsia="Calibri" w:cs="Times New Roman"/>
          <w:highlight w:val="yellow"/>
        </w:rPr>
      </w:pPr>
    </w:p>
    <w:p w:rsidR="003971FF" w:rsidRPr="007F6EA2" w:rsidP="00B16ACF" w14:paraId="4118EE48"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proposed measure notified in G/TBT/N/CAN/731/Add.1 (dated 3 July, 2025) was adopted and published on 17 December, 2025, as the </w:t>
      </w:r>
      <w:r w:rsidRPr="002F663C">
        <w:rPr>
          <w:rFonts w:eastAsia="Calibri" w:cs="Times New Roman"/>
          <w:i/>
          <w:iCs/>
          <w:szCs w:val="18"/>
        </w:rPr>
        <w:t>Exemption Order in Respect of Foods for a Special Dietary Purpose</w:t>
      </w:r>
      <w:r w:rsidRPr="002F663C">
        <w:rPr>
          <w:rFonts w:eastAsia="Calibri" w:cs="Times New Roman"/>
          <w:szCs w:val="18"/>
        </w:rPr>
        <w:t xml:space="preserve"> (the Order). </w:t>
      </w:r>
    </w:p>
    <w:p w:rsidR="00C44447" w:rsidRPr="002F663C" w:rsidP="00B16ACF" w14:paraId="747A2934" w14:textId="77777777">
      <w:pPr>
        <w:spacing w:before="120" w:after="120"/>
        <w:rPr>
          <w:rFonts w:eastAsia="Calibri" w:cs="Times New Roman"/>
          <w:szCs w:val="18"/>
        </w:rPr>
      </w:pPr>
      <w:r w:rsidRPr="002F663C">
        <w:rPr>
          <w:rFonts w:eastAsia="Calibri" w:cs="Times New Roman"/>
          <w:szCs w:val="18"/>
        </w:rPr>
        <w:t>This Order contains two parts:</w:t>
      </w:r>
    </w:p>
    <w:p w:rsidR="00C44447" w:rsidRPr="002F663C" w:rsidP="00B16ACF" w14:paraId="0D8BA30F" w14:textId="77777777">
      <w:pPr>
        <w:numPr>
          <w:ilvl w:val="0"/>
          <w:numId w:val="17"/>
        </w:numPr>
        <w:spacing w:before="120" w:after="120"/>
        <w:rPr>
          <w:rFonts w:eastAsia="Calibri" w:cs="Times New Roman"/>
          <w:szCs w:val="18"/>
        </w:rPr>
      </w:pPr>
      <w:r w:rsidRPr="002F663C">
        <w:rPr>
          <w:rFonts w:eastAsia="Calibri" w:cs="Times New Roman"/>
          <w:szCs w:val="18"/>
        </w:rPr>
        <w:t xml:space="preserve">Part 1 enables the exceptional importation and/or sale of infant formula (IF), human milk fortifiers (HMF) and formulated liquid diets (FLD) in the case of a shortage or risk of shortage, by exempting foods that meet the class criteria from specified provisions of the </w:t>
      </w:r>
      <w:r w:rsidRPr="002F663C">
        <w:rPr>
          <w:rFonts w:eastAsia="Calibri" w:cs="Times New Roman"/>
          <w:i/>
          <w:iCs/>
          <w:szCs w:val="18"/>
        </w:rPr>
        <w:t>Food and Drugs Act</w:t>
      </w:r>
      <w:r w:rsidRPr="002F663C">
        <w:rPr>
          <w:rFonts w:eastAsia="Calibri" w:cs="Times New Roman"/>
          <w:szCs w:val="18"/>
        </w:rPr>
        <w:t xml:space="preserve"> (FDA) and </w:t>
      </w:r>
      <w:r w:rsidRPr="002F663C">
        <w:rPr>
          <w:rFonts w:eastAsia="Calibri" w:cs="Times New Roman"/>
          <w:i/>
          <w:iCs/>
          <w:szCs w:val="18"/>
        </w:rPr>
        <w:t>Food and Drug Regulation</w:t>
      </w:r>
      <w:r w:rsidRPr="002F663C">
        <w:rPr>
          <w:rFonts w:eastAsia="Calibri" w:cs="Times New Roman"/>
          <w:szCs w:val="18"/>
        </w:rPr>
        <w:t>s (FDR); and</w:t>
      </w:r>
    </w:p>
    <w:p w:rsidR="00C44447" w:rsidRPr="002F663C" w:rsidP="00B16ACF" w14:paraId="40FB30F8" w14:textId="77777777">
      <w:pPr>
        <w:numPr>
          <w:ilvl w:val="0"/>
          <w:numId w:val="17"/>
        </w:numPr>
        <w:spacing w:before="120" w:after="120"/>
        <w:rPr>
          <w:rFonts w:eastAsia="Calibri" w:cs="Times New Roman"/>
          <w:szCs w:val="18"/>
        </w:rPr>
      </w:pPr>
      <w:r w:rsidRPr="002F663C">
        <w:rPr>
          <w:rFonts w:eastAsia="Calibri" w:cs="Times New Roman"/>
          <w:szCs w:val="18"/>
        </w:rPr>
        <w:t>Part 2 permits the continued exceptional importation and sale of IFs and HMFs that are part of Health Canada's Transition Strategy (</w:t>
      </w:r>
      <w:hyperlink r:id="rId9" w:history="1">
        <w:r w:rsidRPr="002F663C">
          <w:rPr>
            <w:rFonts w:eastAsia="Calibri" w:cs="Times New Roman"/>
            <w:color w:val="0000FF"/>
            <w:szCs w:val="18"/>
            <w:u w:val="single"/>
          </w:rPr>
          <w:t>https://www.canada.ca/en/health-canada/services/food-nutrition/public-involvement-partnerships/notice-stakeholders-</w:t>
        </w:r>
        <w:r w:rsidRPr="002F663C">
          <w:rPr>
            <w:rFonts w:eastAsia="Calibri" w:cs="Times New Roman"/>
            <w:color w:val="0000FF"/>
            <w:szCs w:val="18"/>
            <w:u w:val="single"/>
          </w:rPr>
          <w:t>transition-strategy-prepare-expiration-interim-policy-mitigate-infant-formula-shortages.html</w:t>
        </w:r>
      </w:hyperlink>
      <w:r w:rsidRPr="002F663C">
        <w:rPr>
          <w:rFonts w:eastAsia="Calibri" w:cs="Times New Roman"/>
          <w:szCs w:val="18"/>
        </w:rPr>
        <w:t>) while the pre-market review for these foods is underway, by exempting them from specified provisions of the FDA and FDR.</w:t>
      </w:r>
    </w:p>
    <w:p w:rsidR="00C44447" w:rsidRPr="002F663C" w:rsidP="00B16ACF" w14:paraId="7F926E9C" w14:textId="77777777">
      <w:pPr>
        <w:spacing w:before="120" w:after="120"/>
        <w:rPr>
          <w:rFonts w:eastAsia="Calibri" w:cs="Times New Roman"/>
          <w:szCs w:val="18"/>
        </w:rPr>
      </w:pPr>
      <w:r w:rsidRPr="002F663C">
        <w:rPr>
          <w:rFonts w:eastAsia="Calibri" w:cs="Times New Roman"/>
          <w:szCs w:val="18"/>
        </w:rPr>
        <w:t>To ensure that the Order's exemptions do not introduce unacceptable health and safety risks, specific conditions relating to the food's label, notifications to the Minister of Health and restrictions on the sale of HMFs are imposed.</w:t>
      </w:r>
    </w:p>
    <w:p w:rsidR="00C44447" w:rsidRPr="002F663C" w:rsidP="00B16ACF" w14:paraId="2FAA52AE" w14:textId="77777777">
      <w:pPr>
        <w:spacing w:before="120" w:after="120"/>
        <w:rPr>
          <w:rFonts w:eastAsia="Calibri" w:cs="Times New Roman"/>
          <w:szCs w:val="18"/>
        </w:rPr>
      </w:pPr>
      <w:r w:rsidRPr="002F663C">
        <w:rPr>
          <w:rFonts w:eastAsia="Calibri" w:cs="Times New Roman"/>
          <w:szCs w:val="18"/>
        </w:rPr>
        <w:t xml:space="preserve">The Order came into force on 17 December, 2025, the day it was published in </w:t>
      </w:r>
      <w:r w:rsidRPr="002F663C">
        <w:rPr>
          <w:rFonts w:eastAsia="Calibri" w:cs="Times New Roman"/>
          <w:i/>
          <w:iCs/>
          <w:szCs w:val="18"/>
        </w:rPr>
        <w:t>Canada Gazette</w:t>
      </w:r>
      <w:r w:rsidRPr="002F663C">
        <w:rPr>
          <w:rFonts w:eastAsia="Calibri" w:cs="Times New Roman"/>
          <w:szCs w:val="18"/>
        </w:rPr>
        <w:t>, Part II.</w:t>
      </w:r>
    </w:p>
    <w:p w:rsidR="006C5A96" w:rsidP="006C5A96" w14:paraId="3432A85D" w14:textId="77777777">
      <w:pPr>
        <w:jc w:val="center"/>
        <w:rPr>
          <w:b/>
        </w:rPr>
      </w:pPr>
      <w:r w:rsidRPr="003971FF">
        <w:rPr>
          <w:b/>
        </w:rPr>
        <w:t>__________</w:t>
      </w:r>
    </w:p>
    <w:p w:rsidR="004D4D19" w:rsidP="007F38C2" w14:paraId="1671D8BF" w14:textId="77777777">
      <w:pPr>
        <w:jc w:val="center"/>
        <w:rPr>
          <w:b/>
        </w:rPr>
      </w:pPr>
    </w:p>
    <w:p w:rsidR="00A1565D" w:rsidP="003971FF" w14:paraId="2894CC83" w14:textId="77777777">
      <w:pPr>
        <w:jc w:val="center"/>
        <w:rPr>
          <w:b/>
        </w:rPr>
      </w:pPr>
    </w:p>
    <w:sectPr w:rsidSect="006C5A96">
      <w:headerReference w:type="even" r:id="rId10"/>
      <w:headerReference w:type="default" r:id="rId11"/>
      <w:footerReference w:type="even" r:id="rId12"/>
      <w:footerReference w:type="default" r:id="rId13"/>
      <w:headerReference w:type="first" r:id="rId1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0D2F110"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0A4D63A"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3847BE74" w14:textId="77777777">
      <w:r>
        <w:separator/>
      </w:r>
    </w:p>
  </w:footnote>
  <w:footnote w:type="continuationSeparator" w:id="1">
    <w:p w:rsidR="004D3A6A" w:rsidP="00ED54E0" w14:paraId="5A5C396F" w14:textId="77777777">
      <w:r>
        <w:continuationSeparator/>
      </w:r>
    </w:p>
  </w:footnote>
  <w:footnote w:id="2">
    <w:p w:rsidR="007F6EA2" w14:paraId="77BC9EE7"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A6E1F12"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7DAACA81" w14:textId="77777777">
    <w:pPr>
      <w:pStyle w:val="Header"/>
      <w:pBdr>
        <w:bottom w:val="single" w:sz="4" w:space="1" w:color="auto"/>
      </w:pBdr>
      <w:tabs>
        <w:tab w:val="clear" w:pos="4513"/>
        <w:tab w:val="clear" w:pos="9027"/>
      </w:tabs>
      <w:jc w:val="center"/>
    </w:pPr>
  </w:p>
  <w:p w:rsidR="00DD3DD7" w:rsidRPr="00DD3DD7" w:rsidP="00DD3DD7" w14:paraId="1C27B65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A8A1A3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6475ECB" w14:textId="77777777">
    <w:pPr>
      <w:pStyle w:val="Header"/>
      <w:pBdr>
        <w:bottom w:val="single" w:sz="4" w:space="1" w:color="auto"/>
      </w:pBdr>
      <w:tabs>
        <w:tab w:val="clear" w:pos="4513"/>
        <w:tab w:val="clear" w:pos="9027"/>
      </w:tabs>
      <w:jc w:val="center"/>
    </w:pPr>
    <w:bookmarkStart w:id="3" w:name="spsSymbolHeader"/>
    <w:r w:rsidRPr="00DD3DD7">
      <w:t>G/TBT/N/CAN/731/Add.2</w:t>
    </w:r>
    <w:bookmarkEnd w:id="3"/>
  </w:p>
  <w:p w:rsidR="00DD3DD7" w:rsidRPr="00DD3DD7" w:rsidP="00DD3DD7" w14:paraId="5B0C8117" w14:textId="77777777">
    <w:pPr>
      <w:pStyle w:val="Header"/>
      <w:pBdr>
        <w:bottom w:val="single" w:sz="4" w:space="1" w:color="auto"/>
      </w:pBdr>
      <w:tabs>
        <w:tab w:val="clear" w:pos="4513"/>
        <w:tab w:val="clear" w:pos="9027"/>
      </w:tabs>
      <w:jc w:val="center"/>
    </w:pPr>
  </w:p>
  <w:p w:rsidR="00DD3DD7" w:rsidRPr="00DD3DD7" w:rsidP="00DD3DD7" w14:paraId="09C1260D"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1DD7A4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C7B9620"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CEC9DBE"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C6C295C" w14:textId="77777777">
          <w:pPr>
            <w:jc w:val="right"/>
            <w:rPr>
              <w:b/>
              <w:color w:val="FF0000"/>
              <w:szCs w:val="16"/>
            </w:rPr>
          </w:pPr>
          <w:r>
            <w:rPr>
              <w:b/>
              <w:color w:val="FF0000"/>
              <w:szCs w:val="16"/>
            </w:rPr>
            <w:t xml:space="preserve"> </w:t>
          </w:r>
        </w:p>
      </w:tc>
    </w:tr>
    <w:tr w14:paraId="6C6A3291"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C3B0C15"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04B8642" w14:textId="77777777">
          <w:pPr>
            <w:jc w:val="right"/>
            <w:rPr>
              <w:b/>
              <w:szCs w:val="16"/>
            </w:rPr>
          </w:pPr>
        </w:p>
      </w:tc>
    </w:tr>
    <w:tr w14:paraId="5C04186C"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4122E568"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2C78AE3" w14:textId="77777777">
          <w:pPr>
            <w:jc w:val="right"/>
            <w:rPr>
              <w:rFonts w:eastAsia="Calibri" w:cs="Times New Roman"/>
              <w:b/>
              <w:szCs w:val="16"/>
            </w:rPr>
          </w:pPr>
          <w:bookmarkStart w:id="4" w:name="bmkSymbols"/>
          <w:r w:rsidRPr="002F663C">
            <w:rPr>
              <w:rFonts w:eastAsia="Calibri" w:cs="Times New Roman"/>
              <w:b/>
              <w:szCs w:val="16"/>
            </w:rPr>
            <w:t>G/TBT/N/CAN/731/Add.2</w:t>
          </w:r>
          <w:bookmarkEnd w:id="4"/>
        </w:p>
        <w:p w:rsidR="00C14444" w:rsidRPr="00C14444" w:rsidP="00C14444" w14:paraId="6C282AF0" w14:textId="77777777">
          <w:pPr>
            <w:jc w:val="center"/>
            <w:rPr>
              <w:szCs w:val="16"/>
            </w:rPr>
          </w:pPr>
        </w:p>
      </w:tc>
    </w:tr>
    <w:tr w14:paraId="2FA10B3A"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429BBFB" w14:textId="77777777"/>
      </w:tc>
      <w:tc>
        <w:tcPr>
          <w:tcW w:w="5448" w:type="dxa"/>
          <w:gridSpan w:val="2"/>
          <w:shd w:val="clear" w:color="auto" w:fill="FFFFFF"/>
          <w:tcMar>
            <w:left w:w="108" w:type="dxa"/>
            <w:right w:w="108" w:type="dxa"/>
          </w:tcMar>
          <w:vAlign w:val="center"/>
        </w:tcPr>
        <w:p w:rsidR="00ED54E0" w:rsidRPr="00182B84" w:rsidP="00425DC5" w14:paraId="701D505E" w14:textId="77777777">
          <w:pPr>
            <w:jc w:val="right"/>
            <w:rPr>
              <w:szCs w:val="16"/>
            </w:rPr>
          </w:pPr>
          <w:bookmarkStart w:id="5" w:name="bmkDate"/>
          <w:r w:rsidRPr="00182B84">
            <w:rPr>
              <w:szCs w:val="16"/>
            </w:rPr>
            <w:t>18 December 2025</w:t>
          </w:r>
          <w:bookmarkEnd w:id="5"/>
        </w:p>
      </w:tc>
    </w:tr>
    <w:tr w14:paraId="42D44BD9"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0388B42" w14:textId="77777777">
          <w:pPr>
            <w:jc w:val="left"/>
            <w:rPr>
              <w:b/>
            </w:rPr>
          </w:pPr>
          <w:bookmarkStart w:id="6" w:name="bmkSerial"/>
          <w:r>
            <w:rPr>
              <w:rFonts w:ascii="Verdana" w:eastAsia="Verdana" w:hAnsi="Verdana" w:cs="Verdana"/>
              <w:b w:val="0"/>
              <w:color w:val="FF0000"/>
              <w:sz w:val="18"/>
            </w:rPr>
            <w:t>(25-8638)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4433EFE"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23897208"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656E98CC"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5EE8C990"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 French</w:t>
          </w:r>
          <w:bookmarkEnd w:id="7"/>
        </w:p>
      </w:tc>
    </w:tr>
  </w:tbl>
  <w:p w:rsidR="00ED54E0" w:rsidP="00DD3DD7" w14:paraId="6AE852C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567493897">
    <w:abstractNumId w:val="9"/>
  </w:num>
  <w:num w:numId="2" w16cid:durableId="512299520">
    <w:abstractNumId w:val="7"/>
  </w:num>
  <w:num w:numId="3" w16cid:durableId="1534265644">
    <w:abstractNumId w:val="6"/>
  </w:num>
  <w:num w:numId="4" w16cid:durableId="1330058890">
    <w:abstractNumId w:val="5"/>
  </w:num>
  <w:num w:numId="5" w16cid:durableId="144863918">
    <w:abstractNumId w:val="4"/>
  </w:num>
  <w:num w:numId="6" w16cid:durableId="1997760819">
    <w:abstractNumId w:val="12"/>
  </w:num>
  <w:num w:numId="7" w16cid:durableId="221528802">
    <w:abstractNumId w:val="11"/>
  </w:num>
  <w:num w:numId="8" w16cid:durableId="1624074906">
    <w:abstractNumId w:val="10"/>
  </w:num>
  <w:num w:numId="9" w16cid:durableId="20948121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80577022">
    <w:abstractNumId w:val="13"/>
  </w:num>
  <w:num w:numId="11" w16cid:durableId="830607936">
    <w:abstractNumId w:val="8"/>
  </w:num>
  <w:num w:numId="12" w16cid:durableId="1067415901">
    <w:abstractNumId w:val="3"/>
  </w:num>
  <w:num w:numId="13" w16cid:durableId="207575725">
    <w:abstractNumId w:val="2"/>
  </w:num>
  <w:num w:numId="14" w16cid:durableId="741832333">
    <w:abstractNumId w:val="1"/>
  </w:num>
  <w:num w:numId="15" w16cid:durableId="7099793">
    <w:abstractNumId w:val="0"/>
  </w:num>
  <w:num w:numId="16" w16cid:durableId="50422574">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 w:numId="17" w16cid:durableId="182493118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40738"/>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51A6"/>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52CB0"/>
    <w:rsid w:val="008739FD"/>
    <w:rsid w:val="00893E85"/>
    <w:rsid w:val="008A0701"/>
    <w:rsid w:val="008B1018"/>
    <w:rsid w:val="008C42D2"/>
    <w:rsid w:val="008E2C13"/>
    <w:rsid w:val="008E372C"/>
    <w:rsid w:val="008E40C3"/>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44447"/>
    <w:rsid w:val="00C50BF8"/>
    <w:rsid w:val="00C65C0C"/>
    <w:rsid w:val="00C808FC"/>
    <w:rsid w:val="00C835E2"/>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95735"/>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040A0D7"/>
  <w15:docId w15:val="{A437A25C-3552-4F91-B4EC-1F3D54F80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gazette.gc.ca/rp-pr/p2/2025/2025-12-17/html/sor-dors248-eng.html" TargetMode="External" /><Relationship Id="rId8" Type="http://schemas.openxmlformats.org/officeDocument/2006/relationships/hyperlink" Target="https://gazette.gc.ca/rp-pr/p2/2025/2025-12-17/html/sor-dors248-fra.html" TargetMode="External" /><Relationship Id="rId9" Type="http://schemas.openxmlformats.org/officeDocument/2006/relationships/hyperlink" Target="https://www.canada.ca/en/health-canada/services/food-nutrition/public-involvement-partnerships/notice-stakeholders-transition-strategy-prepare-expiration-interim-policy-mitigate-infant-formula-shortages.html"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Mermaz\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A83E0C9D-A0A9-4150-BFCA-12D875E8BEA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2</TotalTime>
  <Pages>2</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Mermaz, Johann</cp:lastModifiedBy>
  <cp:revision>3</cp:revision>
  <cp:lastPrinted>2019-10-23T07:32:00Z</cp:lastPrinted>
  <dcterms:created xsi:type="dcterms:W3CDTF">2025-12-18T10:38:00Z</dcterms:created>
  <dcterms:modified xsi:type="dcterms:W3CDTF">2025-12-18T11:35:00Z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