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9B6DC4" w14:textId="77777777">
      <w:pPr>
        <w:pStyle w:val="Title"/>
        <w:rPr>
          <w:caps w:val="0"/>
          <w:kern w:val="0"/>
        </w:rPr>
      </w:pPr>
      <w:r w:rsidRPr="002F6A28">
        <w:rPr>
          <w:caps w:val="0"/>
          <w:kern w:val="0"/>
        </w:rPr>
        <w:t>NOTIFICATION</w:t>
      </w:r>
    </w:p>
    <w:p w:rsidR="009239F7" w:rsidRPr="002F6A28" w:rsidP="002F6A28" w14:paraId="2DCEEAEB" w14:textId="77777777">
      <w:pPr>
        <w:jc w:val="center"/>
      </w:pPr>
      <w:r w:rsidRPr="002F6A28">
        <w:t>The following notification is being circulated in accordance with Article 10.6</w:t>
      </w:r>
    </w:p>
    <w:p w:rsidR="009239F7" w:rsidRPr="002F6A28" w:rsidP="002F6A28" w14:paraId="761716B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9768BE4" w14:textId="77777777" w:rsidTr="00DB13FE">
        <w:tblPrEx>
          <w:tblW w:w="5000" w:type="pct"/>
          <w:tblLayout w:type="fixed"/>
          <w:tblLook w:val="0000"/>
        </w:tblPrEx>
        <w:tc>
          <w:tcPr>
            <w:tcW w:w="607" w:type="dxa"/>
            <w:tcBorders>
              <w:top w:val="double" w:sz="4" w:space="0" w:color="auto"/>
            </w:tcBorders>
          </w:tcPr>
          <w:p w:rsidR="00F85C99" w:rsidRPr="002F6A28" w:rsidP="002F6A28" w14:paraId="6ECFEA3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958F136"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242A652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CBF115F" w14:textId="77777777" w:rsidTr="00DB13FE">
        <w:tblPrEx>
          <w:tblW w:w="5000" w:type="pct"/>
          <w:tblLayout w:type="fixed"/>
          <w:tblLook w:val="0000"/>
        </w:tblPrEx>
        <w:tc>
          <w:tcPr>
            <w:tcW w:w="607" w:type="dxa"/>
          </w:tcPr>
          <w:p w:rsidR="00F85C99" w:rsidRPr="002F6A28" w:rsidP="002F6A28" w14:paraId="23E168B2" w14:textId="77777777">
            <w:pPr>
              <w:spacing w:before="120" w:after="120"/>
              <w:jc w:val="left"/>
            </w:pPr>
            <w:r w:rsidRPr="002F6A28">
              <w:rPr>
                <w:b/>
              </w:rPr>
              <w:t>2.</w:t>
            </w:r>
          </w:p>
        </w:tc>
        <w:tc>
          <w:tcPr>
            <w:tcW w:w="8373" w:type="dxa"/>
          </w:tcPr>
          <w:p w:rsidR="00F85C99" w:rsidRPr="002F6A28" w:rsidP="000C3B6C" w14:paraId="197A375A" w14:textId="77777777">
            <w:pPr>
              <w:spacing w:before="120" w:after="120"/>
            </w:pPr>
            <w:r w:rsidRPr="002F6A28">
              <w:rPr>
                <w:b/>
              </w:rPr>
              <w:t>Agency responsible:</w:t>
            </w:r>
            <w:r w:rsidRPr="00C379C8" w:rsidR="00EE3A11">
              <w:t xml:space="preserve"> </w:t>
            </w:r>
          </w:p>
          <w:p w:rsidR="00EE3A11" w:rsidRPr="00C379C8" w:rsidP="000C3B6C" w14:paraId="00AA4480" w14:textId="77777777">
            <w:r w:rsidRPr="00C379C8">
              <w:t>European Commission</w:t>
            </w:r>
          </w:p>
          <w:p w:rsidR="00EE3A11" w:rsidRPr="00C379C8" w:rsidP="000C3B6C" w14:paraId="1F129CF2" w14:textId="77777777">
            <w:r w:rsidRPr="00C379C8">
              <w:t>EU-TBT Enquiry Point,</w:t>
            </w:r>
          </w:p>
          <w:p w:rsidR="00EE3A11" w:rsidRPr="00C379C8" w:rsidP="000C3B6C" w14:paraId="281BBD78" w14:textId="77777777">
            <w:r w:rsidRPr="00C379C8">
              <w:t>Fax: +(32) 2 299 80 43,</w:t>
            </w:r>
          </w:p>
          <w:p w:rsidR="00EE3A11" w:rsidRPr="00C379C8" w:rsidP="000C3B6C" w14:paraId="4B40637F" w14:textId="77777777">
            <w:r w:rsidRPr="00C379C8">
              <w:t xml:space="preserve">E-mail: </w:t>
            </w:r>
            <w:hyperlink r:id="rId6" w:history="1">
              <w:r w:rsidRPr="00C379C8">
                <w:rPr>
                  <w:color w:val="0000FF"/>
                  <w:u w:val="single"/>
                </w:rPr>
                <w:t>grow-eu-tbt@ec.europa.eu</w:t>
              </w:r>
            </w:hyperlink>
          </w:p>
          <w:p w:rsidR="00EE3A11" w:rsidRPr="00C379C8" w:rsidP="000C3B6C" w14:paraId="0035D87E"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1B8FA02D" w14:textId="77777777" w:rsidTr="00DB13FE">
        <w:tblPrEx>
          <w:tblW w:w="5000" w:type="pct"/>
          <w:tblLayout w:type="fixed"/>
          <w:tblLook w:val="0000"/>
        </w:tblPrEx>
        <w:tc>
          <w:tcPr>
            <w:tcW w:w="607" w:type="dxa"/>
          </w:tcPr>
          <w:p w:rsidR="00F85C99" w:rsidRPr="002F6A28" w:rsidP="002F6A28" w14:paraId="390A3AD0" w14:textId="77777777">
            <w:pPr>
              <w:spacing w:before="120" w:after="120"/>
              <w:jc w:val="left"/>
              <w:rPr>
                <w:b/>
              </w:rPr>
            </w:pPr>
            <w:r w:rsidRPr="002F6A28">
              <w:rPr>
                <w:b/>
              </w:rPr>
              <w:t>3.</w:t>
            </w:r>
          </w:p>
        </w:tc>
        <w:tc>
          <w:tcPr>
            <w:tcW w:w="8373" w:type="dxa"/>
          </w:tcPr>
          <w:p w:rsidR="00F85C99" w:rsidRPr="0058336F" w:rsidP="002F6A28" w14:paraId="587F027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19622EA" w14:textId="77777777" w:rsidTr="00DB13FE">
        <w:tblPrEx>
          <w:tblW w:w="5000" w:type="pct"/>
          <w:tblLayout w:type="fixed"/>
          <w:tblLook w:val="0000"/>
        </w:tblPrEx>
        <w:tc>
          <w:tcPr>
            <w:tcW w:w="607" w:type="dxa"/>
          </w:tcPr>
          <w:p w:rsidR="00F85C99" w:rsidRPr="002F6A28" w:rsidP="002F6A28" w14:paraId="7000903F" w14:textId="77777777">
            <w:pPr>
              <w:spacing w:before="120" w:after="120"/>
              <w:jc w:val="left"/>
            </w:pPr>
            <w:r w:rsidRPr="002F6A28">
              <w:rPr>
                <w:b/>
              </w:rPr>
              <w:t>4.</w:t>
            </w:r>
          </w:p>
        </w:tc>
        <w:tc>
          <w:tcPr>
            <w:tcW w:w="8373" w:type="dxa"/>
          </w:tcPr>
          <w:p w:rsidR="00F85C99" w:rsidRPr="002F6A28" w:rsidP="002F6A28" w14:paraId="60AAC00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space heaters, combination heaters, temperature controls, solar devices, shower water heat recovery devices and packages of those products</w:t>
            </w:r>
          </w:p>
        </w:tc>
      </w:tr>
      <w:tr w14:paraId="6DA872D0" w14:textId="77777777" w:rsidTr="00DB13FE">
        <w:tblPrEx>
          <w:tblW w:w="5000" w:type="pct"/>
          <w:tblLayout w:type="fixed"/>
          <w:tblLook w:val="0000"/>
        </w:tblPrEx>
        <w:tc>
          <w:tcPr>
            <w:tcW w:w="607" w:type="dxa"/>
          </w:tcPr>
          <w:p w:rsidR="00F85C99" w:rsidRPr="002F6A28" w:rsidP="002F6A28" w14:paraId="47C63855" w14:textId="77777777">
            <w:pPr>
              <w:spacing w:before="120" w:after="120"/>
              <w:jc w:val="left"/>
            </w:pPr>
            <w:r w:rsidRPr="002F6A28">
              <w:rPr>
                <w:b/>
              </w:rPr>
              <w:t>5.</w:t>
            </w:r>
          </w:p>
        </w:tc>
        <w:tc>
          <w:tcPr>
            <w:tcW w:w="8373" w:type="dxa"/>
          </w:tcPr>
          <w:p w:rsidR="00F85C99" w:rsidP="002F6A28" w14:paraId="1A6C001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supplementing Regulation (EU) 2017/1369 of the European Parliament and of the Council with regard to the energy labelling of space heaters, combination heaters, temperature controls, solar devices, shower-water heat-recovery devices and packages of those products and repealing Commission Delegated Regulation (EU) No 811/2013; (20 page(s), in English), (102 page(s), in English)</w:t>
            </w:r>
          </w:p>
          <w:p w:rsidR="000C3B6C" w:rsidRPr="000C3B6C" w:rsidP="002F6A28" w14:paraId="3C4CBC8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05AAB" w:rsidRPr="00CE6C29" w:rsidP="002F6A28" w14:paraId="66E8C9F9" w14:textId="77777777">
            <w:pPr>
              <w:pBdr>
                <w:top w:val="none" w:sz="0" w:space="4" w:color="auto"/>
              </w:pBdr>
              <w:rPr>
                <w:iCs/>
              </w:rPr>
            </w:pPr>
            <w:hyperlink r:id="rId8" w:tgtFrame="_blank" w:history="1">
              <w:r w:rsidRPr="00CE6C29">
                <w:rPr>
                  <w:iCs/>
                  <w:color w:val="0000FF"/>
                  <w:u w:val="single"/>
                </w:rPr>
                <w:t>https://members.wto.org/crnattachments/2025/TBT/EEC/25_08818_00_e.pdf</w:t>
              </w:r>
            </w:hyperlink>
          </w:p>
          <w:p w:rsidR="00705AAB" w:rsidRPr="00CE6C29" w:rsidP="002F6A28" w14:paraId="0B99543D" w14:textId="77777777">
            <w:pPr>
              <w:pBdr>
                <w:bottom w:val="none" w:sz="0" w:space="4" w:color="auto"/>
              </w:pBdr>
              <w:rPr>
                <w:iCs/>
              </w:rPr>
            </w:pPr>
            <w:hyperlink r:id="rId9" w:tgtFrame="_blank" w:history="1">
              <w:r w:rsidRPr="00CE6C29">
                <w:rPr>
                  <w:iCs/>
                  <w:color w:val="0000FF"/>
                  <w:u w:val="single"/>
                </w:rPr>
                <w:t>https://members.wto.org/crnattachments/2025/TBT/EEC/25_08818_01_e.pdf</w:t>
              </w:r>
            </w:hyperlink>
          </w:p>
          <w:p w:rsidR="00705AAB" w:rsidRPr="00F07D27" w:rsidP="002F6A28" w14:paraId="14416887" w14:textId="77777777">
            <w:pPr>
              <w:rPr>
                <w:iCs/>
                <w:lang w:val="fr-CH"/>
              </w:rPr>
            </w:pPr>
            <w:r w:rsidRPr="00F07D27">
              <w:rPr>
                <w:iCs/>
                <w:lang w:val="fr-CH"/>
              </w:rPr>
              <w:t>European Commission</w:t>
            </w:r>
          </w:p>
          <w:p w:rsidR="00705AAB" w:rsidRPr="00F07D27" w:rsidP="002F6A28" w14:paraId="2C53B7A5" w14:textId="77777777">
            <w:pPr>
              <w:rPr>
                <w:iCs/>
                <w:lang w:val="fr-CH"/>
              </w:rPr>
            </w:pPr>
            <w:r w:rsidRPr="00F07D27">
              <w:rPr>
                <w:iCs/>
                <w:lang w:val="fr-CH"/>
              </w:rPr>
              <w:t>EU-TBT Enquiry Point</w:t>
            </w:r>
          </w:p>
          <w:p w:rsidR="00705AAB" w:rsidRPr="00F07D27" w:rsidP="002F6A28" w14:paraId="22B8FC0D" w14:textId="77777777">
            <w:pPr>
              <w:rPr>
                <w:iCs/>
                <w:lang w:val="fr-CH"/>
              </w:rPr>
            </w:pPr>
            <w:r w:rsidRPr="00F07D27">
              <w:rPr>
                <w:iCs/>
                <w:lang w:val="fr-CH"/>
              </w:rPr>
              <w:t>Fax: + (32) 2 299 80 43</w:t>
            </w:r>
          </w:p>
          <w:p w:rsidR="00705AAB" w:rsidRPr="00F07D27" w:rsidP="002F6A28" w14:paraId="2DAA40A9" w14:textId="77777777">
            <w:pPr>
              <w:rPr>
                <w:iCs/>
                <w:lang w:val="fr-CH"/>
              </w:rPr>
            </w:pPr>
            <w:r w:rsidRPr="00F07D27">
              <w:rPr>
                <w:iCs/>
                <w:lang w:val="fr-CH"/>
              </w:rPr>
              <w:t xml:space="preserve">E-mail: </w:t>
            </w:r>
            <w:hyperlink r:id="rId6" w:history="1">
              <w:r w:rsidRPr="00F07D27">
                <w:rPr>
                  <w:iCs/>
                  <w:color w:val="0000FF"/>
                  <w:u w:val="single"/>
                  <w:lang w:val="fr-CH"/>
                </w:rPr>
                <w:t>grow-eu-tbt@ec.europa.eu</w:t>
              </w:r>
            </w:hyperlink>
          </w:p>
          <w:p w:rsidR="00705AAB" w:rsidRPr="00CE6C29" w:rsidP="002F6A28" w14:paraId="777F673C"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41C06E4" w14:textId="77777777" w:rsidTr="00DB13FE">
        <w:tblPrEx>
          <w:tblW w:w="5000" w:type="pct"/>
          <w:tblLayout w:type="fixed"/>
          <w:tblLook w:val="0000"/>
        </w:tblPrEx>
        <w:tc>
          <w:tcPr>
            <w:tcW w:w="607" w:type="dxa"/>
          </w:tcPr>
          <w:p w:rsidR="00F85C99" w:rsidRPr="002F6A28" w:rsidP="002F6A28" w14:paraId="724985E1" w14:textId="77777777">
            <w:pPr>
              <w:spacing w:before="120" w:after="120"/>
              <w:jc w:val="left"/>
              <w:rPr>
                <w:b/>
              </w:rPr>
            </w:pPr>
            <w:r w:rsidRPr="002F6A28">
              <w:rPr>
                <w:b/>
              </w:rPr>
              <w:t>6.</w:t>
            </w:r>
          </w:p>
        </w:tc>
        <w:tc>
          <w:tcPr>
            <w:tcW w:w="8373" w:type="dxa"/>
          </w:tcPr>
          <w:p w:rsidR="00F85C99" w:rsidRPr="002F6A28" w:rsidP="002F6A28" w14:paraId="09A1ED5F" w14:textId="77777777">
            <w:pPr>
              <w:spacing w:before="120" w:after="120"/>
              <w:rPr>
                <w:b/>
              </w:rPr>
            </w:pPr>
            <w:r w:rsidRPr="002F6A28">
              <w:rPr>
                <w:b/>
              </w:rPr>
              <w:t>Description of content:</w:t>
            </w:r>
            <w:r w:rsidRPr="00C379C8" w:rsidR="00FE448B">
              <w:t xml:space="preserve"> Regulation (EU) 1369/2017 requires the rescaling of the energy label for space and water heaters. The draft updates and rescales the label from the previous A+++/A++/A+ classes to a more straightforward A to G scale. New icons and features are added to the energy label, a QR code that link to the European Product Registry for Energy Labelling (EPREL), an icon for energy-smart appliances, an icon for heat pumps using a Fgas free refrigerant and icons to indicate whether the products is also supplying water heating and/or cooling functions. The draft Regulation clarifies the rights </w:t>
            </w:r>
            <w:r w:rsidRPr="00C379C8" w:rsidR="00FE448B">
              <w:t xml:space="preserve">and obligations of dealers, including installers acting as dealers, in relation to energy labelling. </w:t>
            </w:r>
          </w:p>
        </w:tc>
      </w:tr>
      <w:tr w14:paraId="59ED4ADD" w14:textId="77777777" w:rsidTr="00DB13FE">
        <w:tblPrEx>
          <w:tblW w:w="5000" w:type="pct"/>
          <w:tblLayout w:type="fixed"/>
          <w:tblLook w:val="0000"/>
        </w:tblPrEx>
        <w:tc>
          <w:tcPr>
            <w:tcW w:w="607" w:type="dxa"/>
          </w:tcPr>
          <w:p w:rsidR="00F85C99" w:rsidRPr="002F6A28" w:rsidP="002F6A28" w14:paraId="62412734" w14:textId="77777777">
            <w:pPr>
              <w:spacing w:before="120" w:after="120"/>
              <w:jc w:val="left"/>
              <w:rPr>
                <w:b/>
              </w:rPr>
            </w:pPr>
            <w:r w:rsidRPr="002F6A28">
              <w:rPr>
                <w:b/>
              </w:rPr>
              <w:t>7.</w:t>
            </w:r>
          </w:p>
        </w:tc>
        <w:tc>
          <w:tcPr>
            <w:tcW w:w="8373" w:type="dxa"/>
          </w:tcPr>
          <w:p w:rsidR="00F85C99" w:rsidRPr="002F6A28" w:rsidP="002F6A28" w14:paraId="7889CF94" w14:textId="77777777">
            <w:pPr>
              <w:spacing w:before="120" w:after="120"/>
              <w:rPr>
                <w:b/>
              </w:rPr>
            </w:pPr>
            <w:r w:rsidRPr="002F6A28">
              <w:rPr>
                <w:b/>
              </w:rPr>
              <w:t>Objective and rationale, including the nature of urgent problems where applicable:</w:t>
            </w:r>
            <w:r w:rsidRPr="00C379C8" w:rsidR="00EE3A11">
              <w:t xml:space="preserve"> The revised Energy Labelling Regulation, aligned with ecodesign requirements, is crucial for advancing the European Green Deal and promoting a circular economy. It aims to address existing issues in energy labelling, such as outdated energy efficiency classes and an inadequate framework for new technologies like heat pumps and hybrid systems. By updating the labels to a scale from A to G, incorporating new features like QR codes and Fgas free refrigerant indicators, and improving test methods, the regulation will enhance consumer awareness and encourage the adoption of efficient, renewable energy solutions. This revision supports the EU's goals of energy efficiency, sustainability, and reduced dependence on imported energy.; Consumer information, labelling</w:t>
            </w:r>
          </w:p>
        </w:tc>
      </w:tr>
      <w:tr w14:paraId="3D87142C" w14:textId="77777777" w:rsidTr="00DB13FE">
        <w:tblPrEx>
          <w:tblW w:w="5000" w:type="pct"/>
          <w:tblLayout w:type="fixed"/>
          <w:tblLook w:val="0000"/>
        </w:tblPrEx>
        <w:tc>
          <w:tcPr>
            <w:tcW w:w="607" w:type="dxa"/>
          </w:tcPr>
          <w:p w:rsidR="00F85C99" w:rsidRPr="002F6A28" w:rsidP="009E75ED" w14:paraId="7F5DE1EA" w14:textId="77777777">
            <w:pPr>
              <w:spacing w:before="120" w:after="120"/>
              <w:jc w:val="left"/>
              <w:rPr>
                <w:b/>
              </w:rPr>
            </w:pPr>
            <w:r w:rsidRPr="002F6A28">
              <w:rPr>
                <w:b/>
              </w:rPr>
              <w:t>8.</w:t>
            </w:r>
          </w:p>
        </w:tc>
        <w:tc>
          <w:tcPr>
            <w:tcW w:w="8373" w:type="dxa"/>
          </w:tcPr>
          <w:p w:rsidR="000C3B6C" w:rsidRPr="00EC00D2" w:rsidP="007F13E8" w14:paraId="4FB0C1D9" w14:textId="77777777">
            <w:pPr>
              <w:spacing w:before="120" w:after="120"/>
              <w:rPr>
                <w:bCs/>
              </w:rPr>
            </w:pPr>
            <w:r w:rsidRPr="002F6A28">
              <w:rPr>
                <w:b/>
              </w:rPr>
              <w:t>Relevant documents:</w:t>
            </w:r>
            <w:r w:rsidRPr="002F6A28" w:rsidR="00EE3A11">
              <w:t xml:space="preserve"> </w:t>
            </w:r>
          </w:p>
          <w:p w:rsidR="00EE3A11" w:rsidRPr="002F6A28" w:rsidP="007F13E8" w14:paraId="4B0974C7" w14:textId="77777777">
            <w:pPr>
              <w:spacing w:before="120" w:after="120"/>
            </w:pPr>
            <w:r w:rsidRPr="002F6A28">
              <w:t>-Regulation (EU) 2017/1369 of the European Parliament and of the Council of 4 July 2017 setting a framework for energy labelling and repealing Directive 2010/30/EU</w:t>
            </w:r>
          </w:p>
          <w:p w:rsidR="00EE3A11" w:rsidRPr="002F6A28" w:rsidP="007F13E8" w14:paraId="44D1D30E" w14:textId="77777777">
            <w:pPr>
              <w:spacing w:before="120" w:after="120"/>
            </w:pPr>
            <w:hyperlink r:id="rId10" w:history="1">
              <w:r w:rsidRPr="002F6A28">
                <w:rPr>
                  <w:color w:val="0000FF"/>
                  <w:u w:val="single"/>
                </w:rPr>
                <w:t>Regulation - 2017/1369 - EN - EUR-Lex</w:t>
              </w:r>
            </w:hyperlink>
          </w:p>
          <w:p w:rsidR="00EE3A11" w:rsidRPr="002F6A28" w:rsidP="007F13E8" w14:paraId="409A94FB" w14:textId="77777777">
            <w:pPr>
              <w:spacing w:before="120" w:after="120"/>
            </w:pPr>
            <w:r w:rsidRPr="002F6A28">
              <w:t>-Commission Delegated Regulation (EU) No 811/2013 of 18 February 2013 supplementing Directive 2010/30/EU of the European Parliament and of the Council with regard to the energy labelling of space heaters, combination heaters, packages of space heater, temperature control and solar device and packages of combination heater, temperature control and solar device</w:t>
            </w:r>
          </w:p>
          <w:p w:rsidR="00EE3A11" w:rsidRPr="002F6A28" w:rsidP="007F13E8" w14:paraId="0552334F" w14:textId="77777777">
            <w:pPr>
              <w:spacing w:before="120" w:after="120"/>
            </w:pPr>
            <w:hyperlink r:id="rId11" w:anchor=":~:text=Commission%20Delegated%20Regulation%20%28EU%29%20No%20811%2F2013%20of%2018,heater%2C%20temperature%20control%20and%20solar%20device%20and%20packa" w:history="1">
              <w:r w:rsidRPr="002F6A28">
                <w:rPr>
                  <w:color w:val="0000FF"/>
                  <w:u w:val="single"/>
                </w:rPr>
                <w:t>Delegated regulation - 811/2013 - EN - EUR-Lex</w:t>
              </w:r>
            </w:hyperlink>
          </w:p>
        </w:tc>
      </w:tr>
      <w:tr w14:paraId="30C42D33" w14:textId="77777777" w:rsidTr="00DB13FE">
        <w:tblPrEx>
          <w:tblW w:w="5000" w:type="pct"/>
          <w:tblLayout w:type="fixed"/>
          <w:tblLook w:val="0000"/>
        </w:tblPrEx>
        <w:tc>
          <w:tcPr>
            <w:tcW w:w="607" w:type="dxa"/>
          </w:tcPr>
          <w:p w:rsidR="00EE3A11" w:rsidRPr="002F6A28" w:rsidP="002F6A28" w14:paraId="021DB7DA" w14:textId="77777777">
            <w:pPr>
              <w:spacing w:before="120" w:after="120"/>
              <w:jc w:val="left"/>
              <w:rPr>
                <w:b/>
              </w:rPr>
            </w:pPr>
            <w:r w:rsidRPr="002F6A28">
              <w:rPr>
                <w:b/>
              </w:rPr>
              <w:t>9.</w:t>
            </w:r>
          </w:p>
        </w:tc>
        <w:tc>
          <w:tcPr>
            <w:tcW w:w="8373" w:type="dxa"/>
          </w:tcPr>
          <w:p w:rsidR="00EE3A11" w:rsidRPr="002F6A28" w:rsidP="008953C4" w14:paraId="4922CDD5" w14:textId="77777777">
            <w:pPr>
              <w:spacing w:before="120" w:after="120"/>
            </w:pPr>
            <w:r w:rsidRPr="002F6A28">
              <w:rPr>
                <w:b/>
              </w:rPr>
              <w:t>Proposed date of adoption:</w:t>
            </w:r>
            <w:r w:rsidRPr="00C379C8">
              <w:t xml:space="preserve"> Q2 2026</w:t>
            </w:r>
          </w:p>
          <w:p w:rsidR="00EE3A11" w:rsidRPr="002F6A28" w:rsidP="008953C4" w14:paraId="573F4197" w14:textId="77777777">
            <w:pPr>
              <w:spacing w:after="120"/>
            </w:pPr>
            <w:r w:rsidRPr="002F6A28">
              <w:rPr>
                <w:b/>
              </w:rPr>
              <w:t>Proposed date of entry into force:</w:t>
            </w:r>
            <w:r w:rsidRPr="00C379C8">
              <w:t xml:space="preserve"> 20 days from publication in the Official Journal of the EU.</w:t>
            </w:r>
          </w:p>
        </w:tc>
      </w:tr>
      <w:tr w14:paraId="41CFC19B" w14:textId="77777777" w:rsidTr="00DB13FE">
        <w:tblPrEx>
          <w:tblW w:w="5000" w:type="pct"/>
          <w:tblLayout w:type="fixed"/>
          <w:tblLook w:val="0000"/>
        </w:tblPrEx>
        <w:tc>
          <w:tcPr>
            <w:tcW w:w="607" w:type="dxa"/>
            <w:tcBorders>
              <w:bottom w:val="double" w:sz="4" w:space="0" w:color="auto"/>
            </w:tcBorders>
          </w:tcPr>
          <w:p w:rsidR="00F85C99" w:rsidRPr="002F6A28" w:rsidP="002F6A28" w14:paraId="7106D43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E08484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EC8AC46" w14:textId="77777777">
            <w:pPr>
              <w:spacing w:before="120" w:after="120"/>
              <w:rPr>
                <w:bCs/>
              </w:rPr>
            </w:pPr>
            <w:r w:rsidRPr="002F6A28">
              <w:rPr>
                <w:b/>
              </w:rPr>
              <w:t>Final date for comments:</w:t>
            </w:r>
            <w:r w:rsidRPr="00C379C8" w:rsidR="00EE3A11">
              <w:t xml:space="preserve"> 8 February 2026</w:t>
            </w:r>
          </w:p>
          <w:p w:rsidR="000C3B6C" w:rsidRPr="00E3324D" w:rsidP="000C3B6C" w14:paraId="4385B7E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BED9EF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F07D27" w:rsidP="000C3B6C" w14:paraId="65F764F5" w14:textId="77777777">
            <w:pPr>
              <w:rPr>
                <w:lang w:val="fr-CH"/>
              </w:rPr>
            </w:pPr>
            <w:r w:rsidRPr="00F07D27">
              <w:rPr>
                <w:lang w:val="fr-CH"/>
              </w:rPr>
              <w:t>European Commission,</w:t>
            </w:r>
          </w:p>
          <w:p w:rsidR="00CE6C29" w:rsidRPr="00F07D27" w:rsidP="000C3B6C" w14:paraId="5EE8E9F0" w14:textId="77777777">
            <w:pPr>
              <w:rPr>
                <w:lang w:val="fr-CH"/>
              </w:rPr>
            </w:pPr>
            <w:r w:rsidRPr="00F07D27">
              <w:rPr>
                <w:lang w:val="fr-CH"/>
              </w:rPr>
              <w:t>EU-TBT Enquiry Point,</w:t>
            </w:r>
          </w:p>
          <w:p w:rsidR="00CE6C29" w:rsidRPr="00F07D27" w:rsidP="000C3B6C" w14:paraId="28637B59" w14:textId="77777777">
            <w:pPr>
              <w:rPr>
                <w:lang w:val="fr-CH"/>
              </w:rPr>
            </w:pPr>
            <w:r w:rsidRPr="00F07D27">
              <w:rPr>
                <w:lang w:val="fr-CH"/>
              </w:rPr>
              <w:t>Fax: + (32) 2 299 80 43,</w:t>
            </w:r>
          </w:p>
          <w:p w:rsidR="00CE6C29" w:rsidRPr="00F07D27" w:rsidP="000C3B6C" w14:paraId="0B7FD309" w14:textId="77777777">
            <w:pPr>
              <w:spacing w:after="120"/>
              <w:rPr>
                <w:lang w:val="fr-CH"/>
              </w:rPr>
            </w:pPr>
            <w:r w:rsidRPr="00F07D27">
              <w:rPr>
                <w:lang w:val="fr-CH"/>
              </w:rPr>
              <w:t xml:space="preserve">E-mail: </w:t>
            </w:r>
            <w:hyperlink r:id="rId6" w:history="1">
              <w:r w:rsidRPr="00F07D27">
                <w:rPr>
                  <w:color w:val="0000FF"/>
                  <w:u w:val="single"/>
                  <w:lang w:val="fr-CH"/>
                </w:rPr>
                <w:t>grow-eu-tbt@ec.europa.eu</w:t>
              </w:r>
            </w:hyperlink>
          </w:p>
        </w:tc>
      </w:tr>
    </w:tbl>
    <w:p w:rsidR="00EE3A11" w:rsidRPr="00F07D27" w:rsidP="00887259" w14:paraId="5A434022" w14:textId="77777777">
      <w:pPr>
        <w:jc w:val="center"/>
        <w:rPr>
          <w:lang w:val="fr-CH"/>
        </w:rP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2F191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ED588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FAB68C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5EA774" w14:textId="77777777">
    <w:pPr>
      <w:pStyle w:val="Header"/>
      <w:pBdr>
        <w:bottom w:val="single" w:sz="4" w:space="1" w:color="auto"/>
      </w:pBdr>
      <w:tabs>
        <w:tab w:val="clear" w:pos="4513"/>
        <w:tab w:val="clear" w:pos="9027"/>
      </w:tabs>
      <w:jc w:val="center"/>
    </w:pPr>
    <w:r w:rsidRPr="002F6A28">
      <w:t>tbtSymbol</w:t>
    </w:r>
  </w:p>
  <w:p w:rsidR="009239F7" w:rsidRPr="002F6A28" w:rsidP="009239F7" w14:paraId="234AD227" w14:textId="77777777">
    <w:pPr>
      <w:pStyle w:val="Header"/>
      <w:pBdr>
        <w:bottom w:val="single" w:sz="4" w:space="1" w:color="auto"/>
      </w:pBdr>
      <w:tabs>
        <w:tab w:val="clear" w:pos="4513"/>
        <w:tab w:val="clear" w:pos="9027"/>
      </w:tabs>
      <w:jc w:val="center"/>
    </w:pPr>
  </w:p>
  <w:p w:rsidR="009239F7" w:rsidRPr="002F6A28" w:rsidP="009239F7" w14:paraId="086CE0D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3F9395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9FFE09" w14:textId="77777777">
    <w:pPr>
      <w:pStyle w:val="Header"/>
      <w:pBdr>
        <w:bottom w:val="single" w:sz="4" w:space="1" w:color="auto"/>
      </w:pBdr>
      <w:tabs>
        <w:tab w:val="clear" w:pos="4513"/>
        <w:tab w:val="clear" w:pos="9027"/>
      </w:tabs>
      <w:jc w:val="center"/>
    </w:pPr>
    <w:bookmarkStart w:id="0" w:name="spsSymbolHeader"/>
    <w:r w:rsidRPr="002F6A28">
      <w:t>G/TBT/N/EU/1173</w:t>
    </w:r>
    <w:bookmarkEnd w:id="0"/>
  </w:p>
  <w:p w:rsidR="009239F7" w:rsidRPr="002F6A28" w:rsidP="009239F7" w14:paraId="25E17763" w14:textId="77777777">
    <w:pPr>
      <w:pStyle w:val="Header"/>
      <w:pBdr>
        <w:bottom w:val="single" w:sz="4" w:space="1" w:color="auto"/>
      </w:pBdr>
      <w:tabs>
        <w:tab w:val="clear" w:pos="4513"/>
        <w:tab w:val="clear" w:pos="9027"/>
      </w:tabs>
      <w:jc w:val="center"/>
    </w:pPr>
  </w:p>
  <w:p w:rsidR="009239F7" w:rsidRPr="002F6A28" w:rsidP="009239F7" w14:paraId="55ADDBD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9D6CC6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03B3C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B4337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B267283" w14:textId="77777777">
          <w:pPr>
            <w:jc w:val="right"/>
            <w:rPr>
              <w:b/>
              <w:color w:val="FF0000"/>
              <w:szCs w:val="16"/>
            </w:rPr>
          </w:pPr>
        </w:p>
      </w:tc>
    </w:tr>
    <w:bookmarkEnd w:id="1"/>
    <w:tr w14:paraId="6984F07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213B46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8FBA8BA" w14:textId="77777777">
          <w:pPr>
            <w:jc w:val="right"/>
            <w:rPr>
              <w:b/>
              <w:szCs w:val="16"/>
            </w:rPr>
          </w:pPr>
        </w:p>
      </w:tc>
    </w:tr>
    <w:tr w14:paraId="77E533E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09D9A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0F09087" w14:textId="77777777">
          <w:pPr>
            <w:jc w:val="right"/>
            <w:rPr>
              <w:b/>
              <w:szCs w:val="16"/>
            </w:rPr>
          </w:pPr>
          <w:bookmarkStart w:id="2" w:name="bmkSymbols"/>
          <w:r w:rsidRPr="002F6A28">
            <w:rPr>
              <w:b/>
              <w:szCs w:val="16"/>
            </w:rPr>
            <w:t>G/TBT/N/EU/1173</w:t>
          </w:r>
          <w:bookmarkEnd w:id="2"/>
        </w:p>
      </w:tc>
    </w:tr>
    <w:tr w14:paraId="35C9DF6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F04185B" w14:textId="77777777"/>
      </w:tc>
      <w:tc>
        <w:tcPr>
          <w:tcW w:w="5448" w:type="dxa"/>
          <w:gridSpan w:val="2"/>
          <w:shd w:val="clear" w:color="auto" w:fill="FFFFFF"/>
          <w:tcMar>
            <w:left w:w="108" w:type="dxa"/>
            <w:right w:w="108" w:type="dxa"/>
          </w:tcMar>
          <w:vAlign w:val="center"/>
        </w:tcPr>
        <w:p w:rsidR="00ED54E0" w:rsidRPr="009239F7" w:rsidP="00B801E9" w14:paraId="4B2717D3" w14:textId="77777777">
          <w:pPr>
            <w:jc w:val="right"/>
            <w:rPr>
              <w:szCs w:val="16"/>
            </w:rPr>
          </w:pPr>
          <w:bookmarkStart w:id="3" w:name="spsDateDistribution"/>
          <w:bookmarkStart w:id="4" w:name="bmkDate"/>
          <w:r w:rsidRPr="009239F7">
            <w:rPr>
              <w:szCs w:val="16"/>
            </w:rPr>
            <w:t>10 December 2025</w:t>
          </w:r>
          <w:bookmarkEnd w:id="3"/>
          <w:bookmarkEnd w:id="4"/>
        </w:p>
      </w:tc>
    </w:tr>
    <w:tr w14:paraId="55989D4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C8C65E3" w14:textId="77777777">
          <w:pPr>
            <w:jc w:val="left"/>
            <w:rPr>
              <w:b/>
            </w:rPr>
          </w:pPr>
          <w:bookmarkStart w:id="5" w:name="bmkSerial"/>
          <w:r>
            <w:rPr>
              <w:rFonts w:ascii="Verdana" w:eastAsia="Verdana" w:hAnsi="Verdana" w:cs="Verdana"/>
              <w:b w:val="0"/>
              <w:color w:val="FF0000"/>
              <w:sz w:val="18"/>
            </w:rPr>
            <w:t>(25-8349)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12D656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2B8681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AD76E3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5ACD6C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77ECF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6694387">
    <w:abstractNumId w:val="9"/>
  </w:num>
  <w:num w:numId="2" w16cid:durableId="1117913792">
    <w:abstractNumId w:val="7"/>
  </w:num>
  <w:num w:numId="3" w16cid:durableId="33820992">
    <w:abstractNumId w:val="6"/>
  </w:num>
  <w:num w:numId="4" w16cid:durableId="1702895715">
    <w:abstractNumId w:val="5"/>
  </w:num>
  <w:num w:numId="5" w16cid:durableId="1154835329">
    <w:abstractNumId w:val="4"/>
  </w:num>
  <w:num w:numId="6" w16cid:durableId="1846091951">
    <w:abstractNumId w:val="12"/>
  </w:num>
  <w:num w:numId="7" w16cid:durableId="848328300">
    <w:abstractNumId w:val="11"/>
  </w:num>
  <w:num w:numId="8" w16cid:durableId="1455710931">
    <w:abstractNumId w:val="10"/>
  </w:num>
  <w:num w:numId="9" w16cid:durableId="499469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1461544">
    <w:abstractNumId w:val="13"/>
  </w:num>
  <w:num w:numId="11" w16cid:durableId="2099595195">
    <w:abstractNumId w:val="8"/>
  </w:num>
  <w:num w:numId="12" w16cid:durableId="2144736782">
    <w:abstractNumId w:val="3"/>
  </w:num>
  <w:num w:numId="13" w16cid:durableId="258635542">
    <w:abstractNumId w:val="2"/>
  </w:num>
  <w:num w:numId="14" w16cid:durableId="127941049">
    <w:abstractNumId w:val="1"/>
  </w:num>
  <w:num w:numId="15" w16cid:durableId="517429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05AAB"/>
    <w:rsid w:val="00711064"/>
    <w:rsid w:val="0071394F"/>
    <w:rsid w:val="007141CF"/>
    <w:rsid w:val="00725DF8"/>
    <w:rsid w:val="00730370"/>
    <w:rsid w:val="00736D06"/>
    <w:rsid w:val="00745146"/>
    <w:rsid w:val="00756BA6"/>
    <w:rsid w:val="007577E3"/>
    <w:rsid w:val="00760DB3"/>
    <w:rsid w:val="007624E8"/>
    <w:rsid w:val="00785A16"/>
    <w:rsid w:val="007870FF"/>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037"/>
    <w:rsid w:val="00E9368F"/>
    <w:rsid w:val="00E969D2"/>
    <w:rsid w:val="00EA5D4F"/>
    <w:rsid w:val="00EB6C56"/>
    <w:rsid w:val="00EC00D2"/>
    <w:rsid w:val="00ED54E0"/>
    <w:rsid w:val="00ED66D3"/>
    <w:rsid w:val="00EE3A11"/>
    <w:rsid w:val="00EE4445"/>
    <w:rsid w:val="00F0047B"/>
    <w:rsid w:val="00F07D27"/>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E6CFC"/>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4B5E9A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17/1369/oj/eng" TargetMode="External" /><Relationship Id="rId11" Type="http://schemas.openxmlformats.org/officeDocument/2006/relationships/hyperlink" Target="https://eur-lex.europa.eu/eli/reg_del/2013/811/oj/eng"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8818_00_e.pdf" TargetMode="External" /><Relationship Id="rId9" Type="http://schemas.openxmlformats.org/officeDocument/2006/relationships/hyperlink" Target="https://members.wto.org/crnattachments/2025/TBT/EEC/25_08818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FC867F0-3D36-4C5B-AE15-3C3C3779E60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2025-12-10T09:24:00Z</dcterms:created>
  <dcterms:modified xsi:type="dcterms:W3CDTF">2025-12-10T09:32:00Z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