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1F1B78" w:rsidP="00D31A79" w14:paraId="4EB41EB3" w14:textId="77777777">
      <w:pPr>
        <w:pStyle w:val="Title"/>
      </w:pPr>
      <w:bookmarkStart w:id="12" w:name="_Hlk216096666"/>
      <w:r w:rsidRPr="001F1B78">
        <w:t>NOTIFICATION</w:t>
      </w:r>
    </w:p>
    <w:p w:rsidR="002F663C" w:rsidRPr="001F1B78" w:rsidP="00D31A79" w14:paraId="6F0A8EBE" w14:textId="77777777">
      <w:pPr>
        <w:pStyle w:val="Title3"/>
      </w:pPr>
      <w:r w:rsidRPr="001F1B78">
        <w:t>Addendum</w:t>
      </w:r>
    </w:p>
    <w:p w:rsidR="002F663C" w:rsidRPr="001F1B78" w:rsidP="00B22706" w14:paraId="03130770" w14:textId="77777777">
      <w:r w:rsidRPr="001F1B78">
        <w:t xml:space="preserve">La communication ci-après, datée du 4 décembre 2025, est distribuée à la demande de la délégation de la </w:t>
      </w:r>
      <w:r w:rsidRPr="001F1B78">
        <w:rPr>
          <w:u w:val="single"/>
        </w:rPr>
        <w:t>Colombie</w:t>
      </w:r>
      <w:r w:rsidRPr="001F1B78">
        <w:t>.</w:t>
      </w:r>
    </w:p>
    <w:p w:rsidR="00B22706" w:rsidRPr="001F1B78" w:rsidP="00B22706" w14:paraId="0C110345" w14:textId="77777777">
      <w:pPr>
        <w:rPr>
          <w:rFonts w:eastAsia="Calibri" w:cs="Times New Roman"/>
        </w:rPr>
      </w:pPr>
    </w:p>
    <w:p w:rsidR="002F663C" w:rsidRPr="001F1B78" w:rsidP="00EF68C9" w14:paraId="03B72EA9" w14:textId="77777777">
      <w:pPr>
        <w:jc w:val="center"/>
        <w:rPr>
          <w:b/>
        </w:rPr>
      </w:pPr>
      <w:r w:rsidRPr="001F1B78">
        <w:rPr>
          <w:b/>
        </w:rPr>
        <w:t>_______________</w:t>
      </w:r>
    </w:p>
    <w:p w:rsidR="002F663C" w:rsidRPr="001F1B78" w:rsidP="00EF68C9" w14:paraId="2585C388" w14:textId="77777777"/>
    <w:p w:rsidR="00B22706" w:rsidRPr="001F1B78" w:rsidP="00EF68C9" w14:paraId="17AB0131" w14:textId="77777777"/>
    <w:p w:rsidR="002F663C" w:rsidRPr="001F1B78" w:rsidP="00EF68C9" w14:paraId="16597E02" w14:textId="77777777">
      <w:pPr>
        <w:spacing w:after="120"/>
        <w:rPr>
          <w:rFonts w:eastAsia="Calibri" w:cs="Times New Roman"/>
          <w:b/>
          <w:szCs w:val="18"/>
        </w:rPr>
      </w:pPr>
      <w:r w:rsidRPr="001F1B78">
        <w:rPr>
          <w:b/>
          <w:bCs/>
        </w:rPr>
        <w:t>Titre</w:t>
      </w:r>
      <w:r w:rsidRPr="001F1B78">
        <w:t>: Analyse d'impact réglementaire simple - Systèmes de freinage destinés à être utilisés dans des véhicules de type motocycles</w:t>
      </w:r>
    </w:p>
    <w:p w:rsidR="002F663C" w:rsidRPr="001F1B78" w:rsidP="00EF68C9" w14:paraId="0243D7F7"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225B97CB"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7FC0CBE9" w14:textId="77777777">
            <w:pPr>
              <w:spacing w:before="60" w:after="60"/>
              <w:ind w:left="567" w:hanging="567"/>
              <w:rPr>
                <w:rFonts w:eastAsia="Calibri" w:cs="Times New Roman"/>
                <w:b/>
              </w:rPr>
            </w:pPr>
            <w:r w:rsidRPr="001F1B78">
              <w:rPr>
                <w:b/>
              </w:rPr>
              <w:t>Motif de l'addendum:</w:t>
            </w:r>
          </w:p>
        </w:tc>
      </w:tr>
      <w:tr w14:paraId="5A63FA4B" w14:textId="77777777" w:rsidTr="00D763A2">
        <w:tblPrEx>
          <w:tblW w:w="8908" w:type="dxa"/>
          <w:tblLayout w:type="fixed"/>
          <w:tblLook w:val="04A0"/>
        </w:tblPrEx>
        <w:tc>
          <w:tcPr>
            <w:tcW w:w="851" w:type="dxa"/>
          </w:tcPr>
          <w:p w:rsidR="002F663C" w:rsidRPr="007B57C5" w:rsidP="00D763A2" w14:paraId="2EDB11C0" w14:textId="77777777">
            <w:pPr>
              <w:spacing w:before="60" w:after="60"/>
              <w:ind w:left="567" w:hanging="567"/>
              <w:rPr>
                <w:rFonts w:eastAsia="Calibri" w:cs="Times New Roman"/>
                <w:szCs w:val="18"/>
              </w:rPr>
            </w:pPr>
            <w:r w:rsidRPr="001F1B78">
              <w:t>[ ]</w:t>
            </w:r>
          </w:p>
        </w:tc>
        <w:tc>
          <w:tcPr>
            <w:tcW w:w="8057" w:type="dxa"/>
          </w:tcPr>
          <w:p w:rsidR="002F663C" w:rsidRPr="00EF68C9" w:rsidP="00442BDE" w14:paraId="2544C5C6" w14:textId="77777777">
            <w:pPr>
              <w:spacing w:before="60" w:after="60"/>
              <w:rPr>
                <w:rFonts w:eastAsia="Calibri" w:cs="Times New Roman"/>
              </w:rPr>
            </w:pPr>
            <w:r w:rsidRPr="001F1B78">
              <w:t xml:space="preserve">Modification du délai pour la présentation des observations - date: </w:t>
            </w:r>
          </w:p>
        </w:tc>
      </w:tr>
      <w:tr w14:paraId="67038865" w14:textId="77777777" w:rsidTr="00D763A2">
        <w:tblPrEx>
          <w:tblW w:w="8908" w:type="dxa"/>
          <w:tblLayout w:type="fixed"/>
          <w:tblLook w:val="04A0"/>
        </w:tblPrEx>
        <w:tc>
          <w:tcPr>
            <w:tcW w:w="851" w:type="dxa"/>
          </w:tcPr>
          <w:p w:rsidR="002F663C" w:rsidRPr="007B57C5" w:rsidP="00D763A2" w14:paraId="48860662" w14:textId="77777777">
            <w:pPr>
              <w:spacing w:before="60" w:after="60"/>
              <w:rPr>
                <w:rFonts w:eastAsia="Calibri" w:cs="Times New Roman"/>
                <w:szCs w:val="18"/>
              </w:rPr>
            </w:pPr>
            <w:r w:rsidRPr="001F1B78">
              <w:t>[ ]</w:t>
            </w:r>
          </w:p>
        </w:tc>
        <w:tc>
          <w:tcPr>
            <w:tcW w:w="8057" w:type="dxa"/>
          </w:tcPr>
          <w:p w:rsidR="002F663C" w:rsidRPr="00EF68C9" w:rsidP="00745CBF" w14:paraId="58AFB019" w14:textId="77777777">
            <w:pPr>
              <w:spacing w:before="60" w:after="60"/>
              <w:rPr>
                <w:rFonts w:eastAsia="Calibri" w:cs="Times New Roman"/>
              </w:rPr>
            </w:pPr>
            <w:r w:rsidRPr="001F1B78">
              <w:t xml:space="preserve">Adoption de la mesure notifiée - date: </w:t>
            </w:r>
          </w:p>
        </w:tc>
      </w:tr>
      <w:tr w14:paraId="6FA516CA" w14:textId="77777777" w:rsidTr="00D763A2">
        <w:tblPrEx>
          <w:tblW w:w="8908" w:type="dxa"/>
          <w:tblLayout w:type="fixed"/>
          <w:tblLook w:val="04A0"/>
        </w:tblPrEx>
        <w:tc>
          <w:tcPr>
            <w:tcW w:w="851" w:type="dxa"/>
          </w:tcPr>
          <w:p w:rsidR="002F663C" w:rsidRPr="007B57C5" w:rsidP="00D763A2" w14:paraId="0D947851" w14:textId="77777777">
            <w:pPr>
              <w:spacing w:before="60" w:after="60"/>
              <w:rPr>
                <w:rFonts w:eastAsia="Calibri" w:cs="Times New Roman"/>
                <w:szCs w:val="18"/>
              </w:rPr>
            </w:pPr>
            <w:r w:rsidRPr="001F1B78">
              <w:t>[ ]</w:t>
            </w:r>
          </w:p>
        </w:tc>
        <w:tc>
          <w:tcPr>
            <w:tcW w:w="8057" w:type="dxa"/>
          </w:tcPr>
          <w:p w:rsidR="002F663C" w:rsidRPr="00EF68C9" w:rsidP="00745CBF" w14:paraId="13D864F0" w14:textId="77777777">
            <w:pPr>
              <w:spacing w:before="60" w:after="60"/>
              <w:rPr>
                <w:rFonts w:eastAsia="Calibri" w:cs="Times New Roman"/>
              </w:rPr>
            </w:pPr>
            <w:r w:rsidRPr="001F1B78">
              <w:t xml:space="preserve">Publication de la mesure notifiée – date: </w:t>
            </w:r>
          </w:p>
        </w:tc>
      </w:tr>
      <w:tr w14:paraId="6F75E635" w14:textId="77777777" w:rsidTr="00D763A2">
        <w:tblPrEx>
          <w:tblW w:w="8908" w:type="dxa"/>
          <w:tblLayout w:type="fixed"/>
          <w:tblLook w:val="04A0"/>
        </w:tblPrEx>
        <w:tc>
          <w:tcPr>
            <w:tcW w:w="851" w:type="dxa"/>
          </w:tcPr>
          <w:p w:rsidR="002F663C" w:rsidRPr="007B57C5" w:rsidP="00D763A2" w14:paraId="2B6827CA" w14:textId="77777777">
            <w:pPr>
              <w:spacing w:before="60" w:after="60"/>
              <w:rPr>
                <w:rFonts w:eastAsia="Calibri" w:cs="Times New Roman"/>
                <w:szCs w:val="18"/>
              </w:rPr>
            </w:pPr>
            <w:r w:rsidRPr="001F1B78">
              <w:t>[ ]</w:t>
            </w:r>
          </w:p>
        </w:tc>
        <w:tc>
          <w:tcPr>
            <w:tcW w:w="8057" w:type="dxa"/>
          </w:tcPr>
          <w:p w:rsidR="002F663C" w:rsidRPr="00EF68C9" w:rsidP="00745CBF" w14:paraId="55CB3325" w14:textId="77777777">
            <w:pPr>
              <w:spacing w:before="60" w:after="60"/>
              <w:rPr>
                <w:rFonts w:eastAsia="Calibri" w:cs="Times New Roman"/>
              </w:rPr>
            </w:pPr>
            <w:r w:rsidRPr="001F1B78">
              <w:t xml:space="preserve">Entrée en vigueur de la mesure notifiée - date: </w:t>
            </w:r>
          </w:p>
        </w:tc>
      </w:tr>
      <w:tr w14:paraId="38489874" w14:textId="77777777" w:rsidTr="00D763A2">
        <w:tblPrEx>
          <w:tblW w:w="8908" w:type="dxa"/>
          <w:tblLayout w:type="fixed"/>
          <w:tblLook w:val="04A0"/>
        </w:tblPrEx>
        <w:tc>
          <w:tcPr>
            <w:tcW w:w="851" w:type="dxa"/>
          </w:tcPr>
          <w:p w:rsidR="002F663C" w:rsidRPr="007B57C5" w:rsidP="00D763A2" w14:paraId="190D824E" w14:textId="77777777">
            <w:pPr>
              <w:spacing w:before="60" w:after="60"/>
              <w:rPr>
                <w:rFonts w:eastAsia="Calibri" w:cs="Times New Roman"/>
                <w:szCs w:val="18"/>
              </w:rPr>
            </w:pPr>
            <w:r w:rsidRPr="001F1B78">
              <w:t>[ ]</w:t>
            </w:r>
          </w:p>
        </w:tc>
        <w:tc>
          <w:tcPr>
            <w:tcW w:w="8057" w:type="dxa"/>
          </w:tcPr>
          <w:p w:rsidR="002F663C" w:rsidRPr="00EF68C9" w:rsidP="00442BDE" w14:paraId="364CB856" w14:textId="77777777">
            <w:pPr>
              <w:spacing w:before="60" w:after="60"/>
              <w:rPr>
                <w:rFonts w:eastAsia="Calibri" w:cs="Times New Roman"/>
              </w:rPr>
            </w:pPr>
            <w:r w:rsidRPr="001F1B78">
              <w:t>Accès au texte final de la mesure</w:t>
            </w:r>
            <w:bookmarkStart w:id="13" w:name="_Ref40866906"/>
            <w:r>
              <w:rPr>
                <w:rStyle w:val="FootnoteReference"/>
              </w:rPr>
              <w:footnoteReference w:id="2"/>
            </w:r>
            <w:bookmarkEnd w:id="13"/>
            <w:r w:rsidRPr="001F1B78">
              <w:t xml:space="preserve">: </w:t>
            </w:r>
          </w:p>
        </w:tc>
      </w:tr>
      <w:tr w14:paraId="16F75373" w14:textId="77777777" w:rsidTr="00D763A2">
        <w:tblPrEx>
          <w:tblW w:w="8908" w:type="dxa"/>
          <w:tblLayout w:type="fixed"/>
          <w:tblLook w:val="04A0"/>
        </w:tblPrEx>
        <w:tc>
          <w:tcPr>
            <w:tcW w:w="851" w:type="dxa"/>
          </w:tcPr>
          <w:p w:rsidR="002F663C" w:rsidRPr="007B57C5" w:rsidP="00D763A2" w14:paraId="540D727B" w14:textId="77777777">
            <w:pPr>
              <w:spacing w:before="60" w:after="60"/>
              <w:rPr>
                <w:rFonts w:eastAsia="Calibri" w:cs="Times New Roman"/>
                <w:szCs w:val="18"/>
              </w:rPr>
            </w:pPr>
            <w:r w:rsidRPr="001F1B78">
              <w:t>[ ]</w:t>
            </w:r>
          </w:p>
        </w:tc>
        <w:tc>
          <w:tcPr>
            <w:tcW w:w="8057" w:type="dxa"/>
          </w:tcPr>
          <w:p w:rsidR="00EF68C9" w:rsidRPr="001F1B78" w:rsidP="00444BD5" w14:paraId="22EDB872" w14:textId="77777777">
            <w:pPr>
              <w:spacing w:before="60" w:after="60"/>
              <w:rPr>
                <w:rFonts w:eastAsia="Calibri" w:cs="Times New Roman"/>
              </w:rPr>
            </w:pPr>
            <w:r w:rsidRPr="001F1B78">
              <w:t xml:space="preserve">Retrait ou abrogation de la mesure notifiée - date: </w:t>
            </w:r>
          </w:p>
          <w:p w:rsidR="002F663C" w:rsidRPr="00EF68C9" w:rsidP="00444BD5" w14:paraId="14C9A623" w14:textId="77777777">
            <w:pPr>
              <w:spacing w:before="60" w:after="60"/>
              <w:rPr>
                <w:rFonts w:eastAsia="Calibri" w:cs="Times New Roman"/>
              </w:rPr>
            </w:pPr>
            <w:r w:rsidRPr="001F1B78">
              <w:t xml:space="preserve">Cote pertinente si la mesure fait l'objet d'une nouvelle notification: </w:t>
            </w:r>
          </w:p>
        </w:tc>
      </w:tr>
      <w:tr w14:paraId="391BA39C" w14:textId="77777777" w:rsidTr="00D763A2">
        <w:tblPrEx>
          <w:tblW w:w="8908" w:type="dxa"/>
          <w:tblLayout w:type="fixed"/>
          <w:tblLook w:val="04A0"/>
        </w:tblPrEx>
        <w:tc>
          <w:tcPr>
            <w:tcW w:w="851" w:type="dxa"/>
          </w:tcPr>
          <w:p w:rsidR="002F663C" w:rsidRPr="007B57C5" w:rsidP="00D763A2" w14:paraId="2949283D" w14:textId="77777777">
            <w:pPr>
              <w:spacing w:before="60" w:after="60"/>
              <w:rPr>
                <w:rFonts w:eastAsia="Calibri" w:cs="Times New Roman"/>
                <w:szCs w:val="18"/>
              </w:rPr>
            </w:pPr>
            <w:r w:rsidRPr="001F1B78">
              <w:t>[ ]</w:t>
            </w:r>
          </w:p>
        </w:tc>
        <w:tc>
          <w:tcPr>
            <w:tcW w:w="8057" w:type="dxa"/>
          </w:tcPr>
          <w:p w:rsidR="00EF68C9" w:rsidRPr="001F1B78" w:rsidP="00745CBF" w14:paraId="76996E3E" w14:textId="77777777">
            <w:pPr>
              <w:spacing w:before="60" w:after="60"/>
              <w:rPr>
                <w:rFonts w:eastAsia="Calibri" w:cs="Times New Roman"/>
              </w:rPr>
            </w:pPr>
            <w:r w:rsidRPr="001F1B78">
              <w:t>Modification de la teneur ou du champ d'application de la mesure notifiée et accès au texte</w:t>
            </w:r>
            <w:r w:rsidRPr="001F1B78">
              <w:rPr>
                <w:vertAlign w:val="superscript"/>
              </w:rPr>
              <w:t>1</w:t>
            </w:r>
            <w:r w:rsidRPr="001F1B78">
              <w:t xml:space="preserve">: </w:t>
            </w:r>
          </w:p>
          <w:p w:rsidR="002F663C" w:rsidRPr="00EF68C9" w14:paraId="772748AA" w14:textId="77777777">
            <w:pPr>
              <w:spacing w:before="60" w:after="60"/>
              <w:rPr>
                <w:rFonts w:eastAsia="Calibri" w:cs="Times New Roman"/>
              </w:rPr>
            </w:pPr>
            <w:r w:rsidRPr="001F1B78">
              <w:t xml:space="preserve">Nouveau délai pour la présentation des observations (le cas échéant): </w:t>
            </w:r>
          </w:p>
        </w:tc>
      </w:tr>
      <w:tr w14:paraId="46D6E3C2" w14:textId="77777777" w:rsidTr="00D763A2">
        <w:tblPrEx>
          <w:tblW w:w="8908" w:type="dxa"/>
          <w:tblLayout w:type="fixed"/>
          <w:tblLook w:val="04A0"/>
        </w:tblPrEx>
        <w:tc>
          <w:tcPr>
            <w:tcW w:w="851" w:type="dxa"/>
            <w:tcBorders>
              <w:bottom w:val="single" w:sz="4" w:space="0" w:color="auto"/>
            </w:tcBorders>
          </w:tcPr>
          <w:p w:rsidR="002F663C" w:rsidRPr="007B57C5" w:rsidP="00D763A2" w14:paraId="74606944" w14:textId="77777777">
            <w:pPr>
              <w:spacing w:before="60" w:after="60"/>
              <w:ind w:left="567" w:hanging="567"/>
              <w:rPr>
                <w:rFonts w:eastAsia="Calibri" w:cs="Times New Roman"/>
                <w:szCs w:val="18"/>
              </w:rPr>
            </w:pPr>
            <w:r w:rsidRPr="001F1B78">
              <w:t>[ ]</w:t>
            </w:r>
          </w:p>
        </w:tc>
        <w:tc>
          <w:tcPr>
            <w:tcW w:w="8057" w:type="dxa"/>
            <w:tcBorders>
              <w:bottom w:val="single" w:sz="4" w:space="0" w:color="auto"/>
            </w:tcBorders>
          </w:tcPr>
          <w:p w:rsidR="002F663C" w:rsidRPr="00360937" w:rsidP="00360937" w14:paraId="31B34E7D" w14:textId="77777777">
            <w:pPr>
              <w:spacing w:before="60" w:after="60"/>
              <w:rPr>
                <w:rFonts w:eastAsia="Calibri" w:cs="Times New Roman"/>
                <w:sz w:val="16"/>
                <w:szCs w:val="16"/>
              </w:rPr>
            </w:pPr>
            <w:r w:rsidRPr="001F1B78">
              <w:t>Publication de directives d'interprétation et accès au texte</w:t>
            </w:r>
            <w:r w:rsidRPr="001F1B78" w:rsidR="00A91F44">
              <w:rPr>
                <w:vertAlign w:val="superscript"/>
              </w:rPr>
              <w:fldChar w:fldCharType="begin"/>
            </w:r>
            <w:r w:rsidRPr="001F1B78" w:rsidR="00A91F44">
              <w:rPr>
                <w:vertAlign w:val="superscript"/>
              </w:rPr>
              <w:instrText xml:space="preserve"> NOTEREF _Ref40866906 \h  \* MERGEFORMAT </w:instrText>
            </w:r>
            <w:r w:rsidRPr="001F1B78" w:rsidR="00A91F44">
              <w:rPr>
                <w:vertAlign w:val="superscript"/>
              </w:rPr>
              <w:fldChar w:fldCharType="separate"/>
            </w:r>
            <w:r w:rsidRPr="001F1B78" w:rsidR="00A91F44">
              <w:rPr>
                <w:vertAlign w:val="superscript"/>
              </w:rPr>
              <w:t>1</w:t>
            </w:r>
            <w:r w:rsidRPr="001F1B78" w:rsidR="00A91F44">
              <w:rPr>
                <w:vertAlign w:val="superscript"/>
              </w:rPr>
              <w:fldChar w:fldCharType="end"/>
            </w:r>
            <w:r w:rsidRPr="001F1B78">
              <w:t xml:space="preserve">: </w:t>
            </w:r>
          </w:p>
        </w:tc>
      </w:tr>
      <w:tr w14:paraId="2AA15363" w14:textId="77777777" w:rsidTr="00D763A2">
        <w:tblPrEx>
          <w:tblW w:w="8908" w:type="dxa"/>
          <w:tblLayout w:type="fixed"/>
          <w:tblLook w:val="04A0"/>
        </w:tblPrEx>
        <w:tc>
          <w:tcPr>
            <w:tcW w:w="851" w:type="dxa"/>
            <w:tcBorders>
              <w:bottom w:val="double" w:sz="6" w:space="0" w:color="auto"/>
            </w:tcBorders>
          </w:tcPr>
          <w:p w:rsidR="002F663C" w:rsidRPr="007B57C5" w:rsidP="00D763A2" w14:paraId="3CEC54DB" w14:textId="77777777">
            <w:pPr>
              <w:spacing w:before="60" w:after="60"/>
              <w:ind w:left="567" w:hanging="567"/>
              <w:rPr>
                <w:rFonts w:eastAsia="Calibri" w:cs="Times New Roman"/>
                <w:szCs w:val="18"/>
              </w:rPr>
            </w:pPr>
            <w:r w:rsidRPr="001F1B78">
              <w:t>[X]</w:t>
            </w:r>
          </w:p>
        </w:tc>
        <w:tc>
          <w:tcPr>
            <w:tcW w:w="8057" w:type="dxa"/>
            <w:tcBorders>
              <w:bottom w:val="double" w:sz="6" w:space="0" w:color="auto"/>
            </w:tcBorders>
          </w:tcPr>
          <w:p w:rsidR="002F663C" w:rsidRPr="001F1B78" w:rsidP="00444BD5" w14:paraId="5180250F" w14:textId="77777777">
            <w:pPr>
              <w:spacing w:before="60" w:after="120"/>
              <w:rPr>
                <w:rFonts w:eastAsia="Calibri" w:cs="Times New Roman"/>
              </w:rPr>
            </w:pPr>
            <w:r w:rsidRPr="001F1B78">
              <w:t xml:space="preserve">Autres: </w:t>
            </w:r>
          </w:p>
          <w:p w:rsidR="00C838A8" w:rsidRPr="001F1B78" w:rsidP="00444BD5" w14:paraId="3C1A7F93" w14:textId="77777777">
            <w:pPr>
              <w:spacing w:before="120" w:after="120"/>
            </w:pPr>
            <w:r w:rsidRPr="001F1B78">
              <w:t>Afin de garantir la transparence et de permettre aux parties intéressées, y compris les partenaires commerciaux, de présenter rapidement des observations, conformément aux bonnes pratiques réglementaires (</w:t>
            </w:r>
            <w:r w:rsidRPr="001F1B78">
              <w:t>BPR</w:t>
            </w:r>
            <w:r w:rsidRPr="001F1B78">
              <w:t>) établies dans le décret n° 1074 de 2015, la Colombie annonce que l'Agence nationale de sécurité routière (</w:t>
            </w:r>
            <w:r w:rsidRPr="001F1B78">
              <w:t>ANSV</w:t>
            </w:r>
            <w:r w:rsidRPr="001F1B78">
              <w:t>) a mis à la disposition du public, pour observations, l'analyse d'impact réglementaire simple relative aux modifications qu'il est proposé d'apporter au règlement technique sur les systèmes de freinage des motocycles. L'analyse d'impact examine les recommandations issues de l'analyse de 2022 sur laquelle se fonde la décision n</w:t>
            </w:r>
            <w:r w:rsidRPr="001F1B78">
              <w:rPr>
                <w:vertAlign w:val="superscript"/>
              </w:rPr>
              <w:t xml:space="preserve">o </w:t>
            </w:r>
            <w:r w:rsidRPr="001F1B78">
              <w:t>20223040062115 et évalue les différentes options pour améliorer la réglementation afin de faciliter la mise en œuvre adéquate de la mesure en vigueur.</w:t>
            </w:r>
          </w:p>
          <w:p w:rsidR="00C838A8" w:rsidRPr="001F1B78" w:rsidP="00444BD5" w14:paraId="5F9CFD0C" w14:textId="77777777">
            <w:pPr>
              <w:spacing w:before="120" w:after="120"/>
            </w:pPr>
            <w:r w:rsidRPr="001F1B78">
              <w:t>Ce document ne constitue ni un projet de règlement technique ni une notification internationale, mais un outil analytique préalable qui vise à recueillir des contributions afin d'orienter la prise de décision réglementaire.</w:t>
            </w:r>
          </w:p>
          <w:p w:rsidR="00C838A8" w:rsidRPr="001F1B78" w:rsidP="00444BD5" w14:paraId="24A49C9D" w14:textId="77777777">
            <w:pPr>
              <w:spacing w:before="120" w:after="120"/>
            </w:pPr>
            <w:r w:rsidRPr="001F1B78">
              <w:t>La consultation publique sera ouverte jusqu'au 17 décembre 2025.</w:t>
            </w:r>
          </w:p>
          <w:p w:rsidR="00C838A8" w:rsidRPr="001F1B78" w:rsidP="00444BD5" w14:paraId="5A18F20C" w14:textId="77777777">
            <w:pPr>
              <w:spacing w:before="120" w:after="120"/>
            </w:pPr>
            <w:r w:rsidRPr="001F1B78">
              <w:t>Les observations et commentaires peuvent être envoyés par courrier électronique aux adresses suivantes:</w:t>
            </w:r>
            <w:hyperlink r:id="rId7" w:history="1">
              <w:r w:rsidRPr="001F1B78">
                <w:rPr>
                  <w:color w:val="0000FF"/>
                  <w:u w:val="single"/>
                </w:rPr>
                <w:t xml:space="preserve"> adriana.saboya@ansv.gov.co</w:t>
              </w:r>
            </w:hyperlink>
            <w:r w:rsidRPr="001F1B78">
              <w:t xml:space="preserve"> et </w:t>
            </w:r>
            <w:hyperlink r:id="rId8" w:history="1">
              <w:r w:rsidRPr="001F1B78">
                <w:rPr>
                  <w:color w:val="0000FF"/>
                  <w:u w:val="single"/>
                </w:rPr>
                <w:t>puntocontacto@mincit.gov.co</w:t>
              </w:r>
            </w:hyperlink>
          </w:p>
          <w:p w:rsidR="00C838A8" w:rsidRPr="001F1B78" w:rsidP="00444BD5" w14:paraId="0A0AAD59" w14:textId="77777777">
            <w:pPr>
              <w:spacing w:before="120" w:after="120"/>
            </w:pPr>
            <w:hyperlink r:id="rId9" w:tgtFrame="_blank" w:history="1">
              <w:r w:rsidRPr="001F1B78">
                <w:rPr>
                  <w:color w:val="0000FF"/>
                  <w:u w:val="single"/>
                </w:rPr>
                <w:t>https://ansv.gov.co/es/atencion-ciudadania/participacion/consulta/sistemas-de-frenado-para-uso-en-vehiculos-tipo</w:t>
              </w:r>
            </w:hyperlink>
          </w:p>
          <w:p w:rsidR="00C838A8" w:rsidRPr="001F1B78" w:rsidP="00444BD5" w14:paraId="56A8F3E4" w14:textId="77777777">
            <w:pPr>
              <w:spacing w:before="120" w:after="120"/>
            </w:pPr>
            <w:hyperlink r:id="rId10" w:tgtFrame="_blank" w:history="1">
              <w:r w:rsidRPr="001F1B78">
                <w:rPr>
                  <w:color w:val="0000FF"/>
                  <w:u w:val="single"/>
                </w:rPr>
                <w:t>https://members.wto.org/crnattachments/2025/TBT/COL/25_08498_00_s.pdf</w:t>
              </w:r>
            </w:hyperlink>
          </w:p>
        </w:tc>
      </w:tr>
    </w:tbl>
    <w:p w:rsidR="002F663C" w:rsidRPr="001F1B78" w:rsidP="00EF68C9" w14:paraId="0A08C37A" w14:textId="77777777"/>
    <w:p w:rsidR="003918E9" w:rsidRPr="001F1B78" w:rsidP="00B03883" w14:paraId="0D3FCFE1" w14:textId="77777777">
      <w:pPr>
        <w:spacing w:after="120"/>
      </w:pPr>
      <w:r w:rsidRPr="001F1B78">
        <w:rPr>
          <w:b/>
          <w:bCs/>
        </w:rPr>
        <w:t>Description</w:t>
      </w:r>
      <w:r w:rsidRPr="001F1B78">
        <w:t>: La République de Colombie annonce que l'analyse d'impact réglementaire simple relative aux modifications du règlement technique sur les systèmes de freinage des motocycles est disponible pour consultation et présentation d'observations par le public. Les parties intéressées, y compris les partenaires commerciaux, sont invitées à présenter leurs observations jusqu'au 17 décembre, conformément aux pratiques en matière de transparence.</w:t>
      </w:r>
    </w:p>
    <w:p w:rsidR="00D60927" w:rsidRPr="001F1B78" w:rsidP="003918E9" w14:paraId="641692D3" w14:textId="77777777">
      <w:pPr>
        <w:pStyle w:val="FootnoteText"/>
        <w:jc w:val="center"/>
        <w:rPr>
          <w:sz w:val="18"/>
        </w:rPr>
      </w:pPr>
      <w:r w:rsidRPr="001F1B78">
        <w:rPr>
          <w:b/>
          <w:sz w:val="18"/>
        </w:rPr>
        <w:t>__________</w:t>
      </w:r>
      <w:bookmarkEnd w:id="12"/>
    </w:p>
    <w:sectPr w:rsidSect="001F1B78">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1F1B78" w:rsidP="001F1B78" w14:paraId="68904BD7" w14:textId="3B05245E">
    <w:pPr>
      <w:pStyle w:val="Footer"/>
    </w:pPr>
    <w:bookmarkStart w:id="22" w:name="_Hlk216096751"/>
    <w:bookmarkStart w:id="23" w:name="_Hlk216096752"/>
    <w:r w:rsidRPr="001F1B78">
      <w:t xml:space="preserve"> </w:t>
    </w:r>
    <w:bookmarkEnd w:id="22"/>
    <w:bookmarkEnd w:id="2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1F1B78" w:rsidP="001F1B78" w14:paraId="41EDF802" w14:textId="73E0AB99">
    <w:pPr>
      <w:pStyle w:val="Footer"/>
    </w:pPr>
    <w:bookmarkStart w:id="24" w:name="_Hlk216096753"/>
    <w:bookmarkStart w:id="25" w:name="_Hlk216096754"/>
    <w:r w:rsidRPr="001F1B78">
      <w:t xml:space="preserve"> </w:t>
    </w:r>
    <w:bookmarkEnd w:id="24"/>
    <w:bookmarkEnd w:id="2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1F1B78" w:rsidP="001F1B78" w14:paraId="148319C4" w14:textId="076B7E20">
    <w:pPr>
      <w:pStyle w:val="Footer"/>
    </w:pPr>
    <w:bookmarkStart w:id="28" w:name="_Hlk216096757"/>
    <w:bookmarkStart w:id="29" w:name="_Hlk216096758"/>
    <w:r w:rsidRPr="001F1B78">
      <w:t xml:space="preserve"> </w:t>
    </w:r>
    <w:bookmarkEnd w:id="28"/>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1F1B78" w:rsidP="00ED54E0" w14:paraId="7C3EABDA" w14:textId="77777777">
      <w:bookmarkStart w:id="0" w:name="_Hlk23403611"/>
      <w:bookmarkStart w:id="1" w:name="_Hlk23403612"/>
      <w:bookmarkStart w:id="2" w:name="_Hlk216096681"/>
      <w:bookmarkStart w:id="3" w:name="_Hlk216096682"/>
      <w:bookmarkStart w:id="4" w:name="_Hlk216096759"/>
      <w:bookmarkStart w:id="5" w:name="_Hlk216096760"/>
      <w:r w:rsidRPr="001F1B78">
        <w:separator/>
      </w:r>
      <w:bookmarkEnd w:id="0"/>
      <w:bookmarkEnd w:id="1"/>
      <w:bookmarkEnd w:id="2"/>
      <w:bookmarkEnd w:id="3"/>
      <w:bookmarkEnd w:id="4"/>
      <w:bookmarkEnd w:id="5"/>
    </w:p>
  </w:footnote>
  <w:footnote w:type="continuationSeparator" w:id="1">
    <w:p w:rsidR="00324956" w:rsidRPr="001F1B78" w:rsidP="00ED54E0" w14:paraId="26271838" w14:textId="77777777">
      <w:bookmarkStart w:id="6" w:name="_Hlk23403613"/>
      <w:bookmarkStart w:id="7" w:name="_Hlk23403614"/>
      <w:bookmarkStart w:id="8" w:name="_Hlk216096683"/>
      <w:bookmarkStart w:id="9" w:name="_Hlk216096684"/>
      <w:bookmarkStart w:id="10" w:name="_Hlk216096761"/>
      <w:bookmarkStart w:id="11" w:name="_Hlk216096762"/>
      <w:r w:rsidRPr="001F1B78">
        <w:continuationSeparator/>
      </w:r>
      <w:bookmarkEnd w:id="6"/>
      <w:bookmarkEnd w:id="7"/>
      <w:bookmarkEnd w:id="8"/>
      <w:bookmarkEnd w:id="9"/>
      <w:bookmarkEnd w:id="10"/>
      <w:bookmarkEnd w:id="11"/>
    </w:p>
  </w:footnote>
  <w:footnote w:id="2">
    <w:p w:rsidR="00F95856" w:rsidRPr="001F1B78" w14:paraId="591C417A" w14:textId="77777777">
      <w:pPr>
        <w:pStyle w:val="FootnoteText"/>
      </w:pPr>
      <w:bookmarkStart w:id="14" w:name="_Hlk216096667"/>
      <w:bookmarkStart w:id="15" w:name="_Hlk216096668"/>
      <w:bookmarkStart w:id="16" w:name="_Hlk216096745"/>
      <w:bookmarkStart w:id="17" w:name="_Hlk216096746"/>
      <w:r w:rsidRPr="001F1B78">
        <w:rPr>
          <w:rStyle w:val="FootnoteReference"/>
        </w:rPr>
        <w:footnoteRef/>
      </w:r>
      <w:r w:rsidRPr="001F1B78">
        <w:t xml:space="preserve"> Il est possible d'indiquer une adresse de site Web, de joindre un fichier en format </w:t>
      </w:r>
      <w:r w:rsidRPr="001F1B78">
        <w:t>pdf</w:t>
      </w:r>
      <w:r w:rsidRPr="001F1B78">
        <w:t xml:space="preserve"> ou de fournir tout autre renseignement permettant d'accéder au texte de la mesure finale/de la modification de la mesure et/ou des directives d'interprétation.</w:t>
      </w:r>
      <w:bookmarkEnd w:id="14"/>
      <w:bookmarkEnd w:id="15"/>
      <w:bookmarkEnd w:id="16"/>
      <w:bookmarkEnd w:id="1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1B78" w:rsidRPr="005B543E" w:rsidP="001F1B78" w14:paraId="0BF39631" w14:textId="77777777">
    <w:pPr>
      <w:pStyle w:val="Header"/>
      <w:spacing w:after="240"/>
      <w:jc w:val="center"/>
      <w:rPr>
        <w:lang w:val="en-GB"/>
      </w:rPr>
    </w:pPr>
    <w:bookmarkStart w:id="18" w:name="_Hlk216096747"/>
    <w:bookmarkStart w:id="19" w:name="_Hlk216096748"/>
    <w:r w:rsidRPr="005B543E">
      <w:rPr>
        <w:lang w:val="en-GB"/>
      </w:rPr>
      <w:t>G/TBT/N/COL/257/Add.4</w:t>
    </w:r>
  </w:p>
  <w:p w:rsidR="001F1B78" w:rsidRPr="001F1B78" w:rsidP="001F1B78" w14:paraId="1AD59FE8" w14:textId="77777777">
    <w:pPr>
      <w:pStyle w:val="Header"/>
      <w:pBdr>
        <w:bottom w:val="single" w:sz="4" w:space="1" w:color="auto"/>
      </w:pBdr>
      <w:jc w:val="center"/>
    </w:pPr>
    <w:r w:rsidRPr="001F1B78">
      <w:t xml:space="preserve">- </w:t>
    </w:r>
    <w:r w:rsidRPr="001F1B78">
      <w:fldChar w:fldCharType="begin"/>
    </w:r>
    <w:r w:rsidRPr="001F1B78">
      <w:instrText xml:space="preserve"> PAGE  \* Arabic  \* MERGEFORMAT </w:instrText>
    </w:r>
    <w:r w:rsidRPr="001F1B78">
      <w:fldChar w:fldCharType="separate"/>
    </w:r>
    <w:r w:rsidRPr="001F1B78">
      <w:t>1</w:t>
    </w:r>
    <w:r w:rsidRPr="001F1B78">
      <w:fldChar w:fldCharType="end"/>
    </w:r>
    <w:r w:rsidRPr="001F1B78">
      <w:t xml:space="preserve"> -</w:t>
    </w:r>
    <w:bookmarkEnd w:id="18"/>
    <w:bookmarkEnd w:id="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1B78" w:rsidRPr="005B543E" w:rsidP="001F1B78" w14:paraId="4C276EF5" w14:textId="77777777">
    <w:pPr>
      <w:pStyle w:val="Header"/>
      <w:spacing w:after="240"/>
      <w:jc w:val="center"/>
      <w:rPr>
        <w:lang w:val="en-GB"/>
      </w:rPr>
    </w:pPr>
    <w:bookmarkStart w:id="20" w:name="_Hlk216096749"/>
    <w:bookmarkStart w:id="21" w:name="_Hlk216096750"/>
    <w:r w:rsidRPr="005B543E">
      <w:rPr>
        <w:lang w:val="en-GB"/>
      </w:rPr>
      <w:t>G/TBT/N/COL/257/Add.4</w:t>
    </w:r>
  </w:p>
  <w:p w:rsidR="001F1B78" w:rsidRPr="001F1B78" w:rsidP="001F1B78" w14:paraId="1FD894EF" w14:textId="77777777">
    <w:pPr>
      <w:pStyle w:val="Header"/>
      <w:pBdr>
        <w:bottom w:val="single" w:sz="4" w:space="1" w:color="auto"/>
      </w:pBdr>
      <w:jc w:val="center"/>
    </w:pPr>
    <w:r w:rsidRPr="001F1B78">
      <w:t xml:space="preserve">- </w:t>
    </w:r>
    <w:r w:rsidRPr="001F1B78">
      <w:fldChar w:fldCharType="begin"/>
    </w:r>
    <w:r w:rsidRPr="001F1B78">
      <w:instrText xml:space="preserve"> PAGE  \* Arabic  \* MERGEFORMAT </w:instrText>
    </w:r>
    <w:r w:rsidRPr="001F1B78">
      <w:fldChar w:fldCharType="separate"/>
    </w:r>
    <w:r w:rsidRPr="001F1B78">
      <w:t>2</w:t>
    </w:r>
    <w:r w:rsidRPr="001F1B78">
      <w:fldChar w:fldCharType="end"/>
    </w:r>
    <w:r w:rsidRPr="001F1B78">
      <w:t xml:space="preserve"> -</w:t>
    </w:r>
    <w:bookmarkEnd w:id="20"/>
    <w:bookmarkEnd w:id="2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750"/>
      <w:gridCol w:w="2050"/>
      <w:gridCol w:w="3226"/>
    </w:tblGrid>
    <w:tr w14:paraId="170CCEB5" w14:textId="77777777" w:rsidTr="001F1B78">
      <w:tblPrEx>
        <w:tblW w:w="5000" w:type="pct"/>
        <w:jc w:val="center"/>
        <w:tblLook w:val="04A0"/>
      </w:tblPrEx>
      <w:trPr>
        <w:trHeight w:val="240"/>
        <w:jc w:val="center"/>
      </w:trPr>
      <w:tc>
        <w:tcPr>
          <w:tcW w:w="2053" w:type="pct"/>
          <w:tcMar>
            <w:left w:w="108" w:type="dxa"/>
            <w:right w:w="108" w:type="dxa"/>
          </w:tcMar>
          <w:vAlign w:val="center"/>
        </w:tcPr>
        <w:p w:rsidR="001F1B78" w:rsidRPr="001F1B78" w:rsidP="001F1B78" w14:paraId="44875010" w14:textId="77777777">
          <w:pPr>
            <w:rPr>
              <w:rFonts w:eastAsia="Verdana" w:cs="Verdana"/>
              <w:noProof/>
              <w:szCs w:val="18"/>
              <w:lang w:eastAsia="en-GB"/>
            </w:rPr>
          </w:pPr>
          <w:bookmarkStart w:id="26" w:name="_Hlk216096755"/>
          <w:bookmarkStart w:id="27" w:name="_Hlk216096756"/>
        </w:p>
      </w:tc>
      <w:tc>
        <w:tcPr>
          <w:tcW w:w="2947" w:type="pct"/>
          <w:gridSpan w:val="2"/>
          <w:tcMar>
            <w:left w:w="108" w:type="dxa"/>
            <w:right w:w="108" w:type="dxa"/>
          </w:tcMar>
          <w:vAlign w:val="center"/>
        </w:tcPr>
        <w:p w:rsidR="001F1B78" w:rsidRPr="001F1B78" w:rsidP="001F1B78" w14:paraId="16174DB5" w14:textId="77777777">
          <w:pPr>
            <w:jc w:val="right"/>
            <w:rPr>
              <w:rFonts w:eastAsia="Verdana" w:cs="Verdana"/>
              <w:b/>
              <w:color w:val="FF0000"/>
              <w:szCs w:val="18"/>
            </w:rPr>
          </w:pPr>
        </w:p>
      </w:tc>
    </w:tr>
    <w:tr w14:paraId="4E72A771" w14:textId="77777777" w:rsidTr="001F1B78">
      <w:tblPrEx>
        <w:tblW w:w="5000" w:type="pct"/>
        <w:jc w:val="center"/>
        <w:tblLook w:val="04A0"/>
      </w:tblPrEx>
      <w:trPr>
        <w:trHeight w:val="213"/>
        <w:jc w:val="center"/>
      </w:trPr>
      <w:tc>
        <w:tcPr>
          <w:tcW w:w="2053" w:type="pct"/>
          <w:vMerge w:val="restart"/>
          <w:tcMar>
            <w:left w:w="0" w:type="dxa"/>
            <w:right w:w="0" w:type="dxa"/>
          </w:tcMar>
        </w:tcPr>
        <w:p w:rsidR="001F1B78" w:rsidRPr="001F1B78" w:rsidP="001F1B78" w14:paraId="6162A0D6" w14:textId="2875CF2F">
          <w:pPr>
            <w:jc w:val="left"/>
            <w:rPr>
              <w:rFonts w:eastAsia="Verdana" w:cs="Verdana"/>
              <w:szCs w:val="18"/>
            </w:rPr>
          </w:pPr>
          <w:r w:rsidRPr="001F1B78">
            <w:rPr>
              <w:rFonts w:eastAsia="Verdana" w:cs="Verdana"/>
              <w:noProof/>
              <w:szCs w:val="18"/>
            </w:rPr>
            <w:drawing>
              <wp:inline distT="0" distB="0" distL="0" distR="0">
                <wp:extent cx="2376297" cy="720090"/>
                <wp:effectExtent l="0" t="0" r="5080" b="3810"/>
                <wp:docPr id="488455710" name="Picture 2"/>
                <wp:cNvGraphicFramePr/>
                <a:graphic xmlns:a="http://schemas.openxmlformats.org/drawingml/2006/main">
                  <a:graphicData uri="http://schemas.openxmlformats.org/drawingml/2006/picture">
                    <pic:pic xmlns:pic="http://schemas.openxmlformats.org/drawingml/2006/picture">
                      <pic:nvPicPr>
                        <pic:cNvPr id="488455710" name="Picture 2"/>
                        <pic:cNvPicPr/>
                      </pic:nvPicPr>
                      <pic:blipFill>
                        <a:blip xmlns:r="http://schemas.openxmlformats.org/officeDocument/2006/relationships" r:embed="rId1"/>
                        <a:stretch>
                          <a:fillRect/>
                        </a:stretch>
                      </pic:blipFill>
                      <pic:spPr>
                        <a:xfrm>
                          <a:off x="0" y="0"/>
                          <a:ext cx="2376297" cy="720090"/>
                        </a:xfrm>
                        <a:prstGeom prst="rect">
                          <a:avLst/>
                        </a:prstGeom>
                      </pic:spPr>
                    </pic:pic>
                  </a:graphicData>
                </a:graphic>
              </wp:inline>
            </w:drawing>
          </w:r>
        </w:p>
      </w:tc>
      <w:tc>
        <w:tcPr>
          <w:tcW w:w="2947" w:type="pct"/>
          <w:gridSpan w:val="2"/>
          <w:tcMar>
            <w:left w:w="108" w:type="dxa"/>
            <w:right w:w="108" w:type="dxa"/>
          </w:tcMar>
        </w:tcPr>
        <w:p w:rsidR="001F1B78" w:rsidRPr="001F1B78" w:rsidP="001F1B78" w14:paraId="1FC11C98" w14:textId="77777777">
          <w:pPr>
            <w:jc w:val="right"/>
            <w:rPr>
              <w:rFonts w:eastAsia="Verdana" w:cs="Verdana"/>
              <w:b/>
              <w:szCs w:val="18"/>
            </w:rPr>
          </w:pPr>
        </w:p>
      </w:tc>
    </w:tr>
    <w:tr w14:paraId="4E56AF1B" w14:textId="77777777" w:rsidTr="001F1B78">
      <w:tblPrEx>
        <w:tblW w:w="5000" w:type="pct"/>
        <w:jc w:val="center"/>
        <w:tblLook w:val="04A0"/>
      </w:tblPrEx>
      <w:trPr>
        <w:trHeight w:val="868"/>
        <w:jc w:val="center"/>
      </w:trPr>
      <w:tc>
        <w:tcPr>
          <w:tcW w:w="2053" w:type="pct"/>
          <w:vMerge/>
          <w:tcMar>
            <w:left w:w="108" w:type="dxa"/>
            <w:right w:w="108" w:type="dxa"/>
          </w:tcMar>
        </w:tcPr>
        <w:p w:rsidR="001F1B78" w:rsidRPr="001F1B78" w:rsidP="001F1B78" w14:paraId="1F8E8B0C" w14:textId="77777777">
          <w:pPr>
            <w:jc w:val="left"/>
            <w:rPr>
              <w:rFonts w:eastAsia="Verdana" w:cs="Verdana"/>
              <w:noProof/>
              <w:szCs w:val="18"/>
              <w:lang w:eastAsia="en-GB"/>
            </w:rPr>
          </w:pPr>
        </w:p>
      </w:tc>
      <w:tc>
        <w:tcPr>
          <w:tcW w:w="2947" w:type="pct"/>
          <w:gridSpan w:val="2"/>
          <w:tcMar>
            <w:left w:w="108" w:type="dxa"/>
            <w:right w:w="108" w:type="dxa"/>
          </w:tcMar>
        </w:tcPr>
        <w:p w:rsidR="001F1B78" w:rsidRPr="005B543E" w:rsidP="001F1B78" w14:paraId="3A78FB8A" w14:textId="7EBDA4BB">
          <w:pPr>
            <w:jc w:val="right"/>
            <w:rPr>
              <w:rFonts w:eastAsia="Verdana" w:cs="Verdana"/>
              <w:b/>
              <w:szCs w:val="18"/>
              <w:lang w:val="en-GB"/>
            </w:rPr>
          </w:pPr>
          <w:r w:rsidRPr="005B543E">
            <w:rPr>
              <w:b/>
              <w:szCs w:val="18"/>
              <w:lang w:val="en-GB"/>
            </w:rPr>
            <w:t>G/TBT/N/COL/257/Add.4</w:t>
          </w:r>
        </w:p>
      </w:tc>
    </w:tr>
    <w:tr w14:paraId="3DBF712C" w14:textId="77777777" w:rsidTr="001F1B78">
      <w:tblPrEx>
        <w:tblW w:w="5000" w:type="pct"/>
        <w:jc w:val="center"/>
        <w:tblLook w:val="04A0"/>
      </w:tblPrEx>
      <w:trPr>
        <w:trHeight w:val="240"/>
        <w:jc w:val="center"/>
      </w:trPr>
      <w:tc>
        <w:tcPr>
          <w:tcW w:w="2053" w:type="pct"/>
          <w:vMerge/>
          <w:tcMar>
            <w:left w:w="108" w:type="dxa"/>
            <w:right w:w="108" w:type="dxa"/>
          </w:tcMar>
          <w:vAlign w:val="center"/>
        </w:tcPr>
        <w:p w:rsidR="001F1B78" w:rsidRPr="005B543E" w:rsidP="001F1B78" w14:paraId="6E886DB5" w14:textId="77777777">
          <w:pPr>
            <w:rPr>
              <w:rFonts w:eastAsia="Verdana" w:cs="Verdana"/>
              <w:szCs w:val="18"/>
              <w:lang w:val="en-GB"/>
            </w:rPr>
          </w:pPr>
        </w:p>
      </w:tc>
      <w:tc>
        <w:tcPr>
          <w:tcW w:w="2947" w:type="pct"/>
          <w:gridSpan w:val="2"/>
          <w:tcMar>
            <w:left w:w="108" w:type="dxa"/>
            <w:right w:w="108" w:type="dxa"/>
          </w:tcMar>
          <w:vAlign w:val="center"/>
        </w:tcPr>
        <w:p w:rsidR="001F1B78" w:rsidRPr="001F1B78" w:rsidP="001F1B78" w14:paraId="02E59CDD" w14:textId="3647E283">
          <w:pPr>
            <w:jc w:val="right"/>
            <w:rPr>
              <w:rFonts w:eastAsia="Verdana" w:cs="Verdana"/>
              <w:szCs w:val="18"/>
            </w:rPr>
          </w:pPr>
          <w:r w:rsidRPr="001F1B78">
            <w:rPr>
              <w:rFonts w:eastAsia="Verdana" w:cs="Verdana"/>
              <w:szCs w:val="18"/>
            </w:rPr>
            <w:t>5 décembre 2025</w:t>
          </w:r>
        </w:p>
      </w:tc>
    </w:tr>
    <w:tr w14:paraId="4A41DEA4" w14:textId="77777777" w:rsidTr="001F1B78">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1F1B78" w:rsidRPr="001F1B78" w:rsidP="001F1B78" w14:paraId="7465893D" w14:textId="14CA21E8">
          <w:pPr>
            <w:jc w:val="left"/>
            <w:rPr>
              <w:rFonts w:eastAsia="Verdana" w:cs="Verdana"/>
              <w:b/>
              <w:szCs w:val="18"/>
            </w:rPr>
          </w:pPr>
          <w:r w:rsidRPr="001F1B78">
            <w:rPr>
              <w:rFonts w:eastAsia="Verdana" w:cs="Verdana"/>
              <w:color w:val="FF0000"/>
              <w:szCs w:val="18"/>
            </w:rPr>
            <w:t>(25-8141)</w:t>
          </w:r>
        </w:p>
      </w:tc>
      <w:tc>
        <w:tcPr>
          <w:tcW w:w="1799" w:type="pct"/>
          <w:tcBorders>
            <w:bottom w:val="single" w:sz="4" w:space="0" w:color="auto"/>
          </w:tcBorders>
          <w:tcMar>
            <w:top w:w="0" w:type="dxa"/>
            <w:left w:w="108" w:type="dxa"/>
            <w:bottom w:w="57" w:type="dxa"/>
            <w:right w:w="108" w:type="dxa"/>
          </w:tcMar>
          <w:vAlign w:val="bottom"/>
        </w:tcPr>
        <w:p w:rsidR="001F1B78" w:rsidRPr="001F1B78" w:rsidP="001F1B78" w14:paraId="764EDB59" w14:textId="778D1B0C">
          <w:pPr>
            <w:jc w:val="right"/>
            <w:rPr>
              <w:rFonts w:eastAsia="Verdana" w:cs="Verdana"/>
              <w:szCs w:val="18"/>
            </w:rPr>
          </w:pPr>
          <w:r w:rsidRPr="001F1B78">
            <w:rPr>
              <w:rFonts w:eastAsia="Verdana" w:cs="Verdana"/>
              <w:szCs w:val="18"/>
            </w:rPr>
            <w:t xml:space="preserve">Page: </w:t>
          </w:r>
          <w:r w:rsidRPr="001F1B78">
            <w:rPr>
              <w:rFonts w:eastAsia="Verdana" w:cs="Verdana"/>
              <w:szCs w:val="18"/>
            </w:rPr>
            <w:fldChar w:fldCharType="begin"/>
          </w:r>
          <w:r w:rsidRPr="001F1B78">
            <w:rPr>
              <w:rFonts w:eastAsia="Verdana" w:cs="Verdana"/>
              <w:szCs w:val="18"/>
            </w:rPr>
            <w:instrText xml:space="preserve"> PAGE  \* Arabic  \* MERGEFORMAT </w:instrText>
          </w:r>
          <w:r w:rsidRPr="001F1B78">
            <w:rPr>
              <w:rFonts w:eastAsia="Verdana" w:cs="Verdana"/>
              <w:szCs w:val="18"/>
            </w:rPr>
            <w:fldChar w:fldCharType="separate"/>
          </w:r>
          <w:r w:rsidRPr="001F1B78">
            <w:rPr>
              <w:rFonts w:ascii="Verdana" w:eastAsia="Verdana" w:hAnsi="Verdana" w:cs="Verdana"/>
              <w:sz w:val="18"/>
              <w:szCs w:val="18"/>
              <w:lang w:val="fr-FR" w:eastAsia="en-US" w:bidi="ar-SA"/>
            </w:rPr>
            <w:t>1</w:t>
          </w:r>
          <w:r w:rsidRPr="001F1B78">
            <w:rPr>
              <w:rFonts w:eastAsia="Verdana" w:cs="Verdana"/>
              <w:szCs w:val="18"/>
            </w:rPr>
            <w:fldChar w:fldCharType="end"/>
          </w:r>
          <w:r w:rsidRPr="001F1B78">
            <w:rPr>
              <w:rFonts w:eastAsia="Verdana" w:cs="Verdana"/>
              <w:szCs w:val="18"/>
            </w:rPr>
            <w:t>/</w:t>
          </w:r>
          <w:r w:rsidRPr="001F1B78">
            <w:rPr>
              <w:rFonts w:eastAsia="Verdana" w:cs="Verdana"/>
              <w:szCs w:val="18"/>
            </w:rPr>
            <w:fldChar w:fldCharType="begin"/>
          </w:r>
          <w:r w:rsidRPr="001F1B78">
            <w:rPr>
              <w:rFonts w:eastAsia="Verdana" w:cs="Verdana"/>
              <w:szCs w:val="18"/>
            </w:rPr>
            <w:instrText xml:space="preserve"> NUMPAGES  \# "0" \* Arabic  \* MERGEFORMAT </w:instrText>
          </w:r>
          <w:r w:rsidRPr="001F1B78">
            <w:rPr>
              <w:rFonts w:eastAsia="Verdana" w:cs="Verdana"/>
              <w:szCs w:val="18"/>
            </w:rPr>
            <w:fldChar w:fldCharType="separate"/>
          </w:r>
          <w:r w:rsidRPr="001F1B78">
            <w:rPr>
              <w:rFonts w:ascii="Verdana" w:eastAsia="Verdana" w:hAnsi="Verdana" w:cs="Verdana"/>
              <w:sz w:val="18"/>
              <w:szCs w:val="18"/>
              <w:lang w:val="fr-FR" w:eastAsia="en-US" w:bidi="ar-SA"/>
            </w:rPr>
            <w:t>2</w:t>
          </w:r>
          <w:r w:rsidRPr="001F1B78">
            <w:rPr>
              <w:rFonts w:eastAsia="Verdana" w:cs="Verdana"/>
              <w:szCs w:val="18"/>
            </w:rPr>
            <w:fldChar w:fldCharType="end"/>
          </w:r>
        </w:p>
      </w:tc>
    </w:tr>
    <w:tr w14:paraId="1F8E5684" w14:textId="77777777" w:rsidTr="001F1B78">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1F1B78" w:rsidRPr="001F1B78" w:rsidP="001F1B78" w14:paraId="5C07166A" w14:textId="1983E7C9">
          <w:pPr>
            <w:jc w:val="left"/>
            <w:rPr>
              <w:rFonts w:eastAsia="Verdana" w:cs="Verdana"/>
              <w:szCs w:val="18"/>
            </w:rPr>
          </w:pPr>
          <w:r w:rsidRPr="001F1B78">
            <w:rPr>
              <w:b/>
              <w:szCs w:val="18"/>
            </w:rPr>
            <w:t>Comité des obstacles techniques au commerce</w:t>
          </w:r>
        </w:p>
      </w:tc>
      <w:tc>
        <w:tcPr>
          <w:tcW w:w="1799" w:type="pct"/>
          <w:tcBorders>
            <w:top w:val="single" w:sz="4" w:space="0" w:color="auto"/>
          </w:tcBorders>
          <w:tcMar>
            <w:top w:w="113" w:type="dxa"/>
            <w:left w:w="108" w:type="dxa"/>
            <w:bottom w:w="57" w:type="dxa"/>
            <w:right w:w="108" w:type="dxa"/>
          </w:tcMar>
        </w:tcPr>
        <w:p w:rsidR="001F1B78" w:rsidRPr="001F1B78" w:rsidP="001F1B78" w14:paraId="16F3BC5F" w14:textId="63590ED0">
          <w:pPr>
            <w:jc w:val="right"/>
            <w:rPr>
              <w:rFonts w:eastAsia="Verdana" w:cs="Verdana"/>
              <w:bCs/>
              <w:szCs w:val="18"/>
            </w:rPr>
          </w:pPr>
          <w:r w:rsidRPr="001F1B78">
            <w:rPr>
              <w:rFonts w:eastAsia="Verdana" w:cs="Verdana"/>
              <w:bCs/>
              <w:szCs w:val="18"/>
            </w:rPr>
            <w:t>Original: espagnol</w:t>
          </w:r>
        </w:p>
      </w:tc>
    </w:tr>
    <w:bookmarkEnd w:id="26"/>
    <w:bookmarkEnd w:id="27"/>
  </w:tbl>
  <w:p w:rsidR="00ED54E0" w:rsidRPr="001F1B78" w:rsidP="001F1B78" w14:paraId="0F7C8B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3281116">
    <w:abstractNumId w:val="9"/>
  </w:num>
  <w:num w:numId="2" w16cid:durableId="434520902">
    <w:abstractNumId w:val="7"/>
  </w:num>
  <w:num w:numId="3" w16cid:durableId="809981151">
    <w:abstractNumId w:val="6"/>
  </w:num>
  <w:num w:numId="4" w16cid:durableId="1822652200">
    <w:abstractNumId w:val="5"/>
  </w:num>
  <w:num w:numId="5" w16cid:durableId="1380468731">
    <w:abstractNumId w:val="4"/>
  </w:num>
  <w:num w:numId="6" w16cid:durableId="1557887921">
    <w:abstractNumId w:val="12"/>
  </w:num>
  <w:num w:numId="7" w16cid:durableId="843933398">
    <w:abstractNumId w:val="11"/>
  </w:num>
  <w:num w:numId="8" w16cid:durableId="1170633619">
    <w:abstractNumId w:val="10"/>
  </w:num>
  <w:num w:numId="9" w16cid:durableId="2237633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523423">
    <w:abstractNumId w:val="13"/>
  </w:num>
  <w:num w:numId="11" w16cid:durableId="2101902927">
    <w:abstractNumId w:val="8"/>
  </w:num>
  <w:num w:numId="12" w16cid:durableId="1251620722">
    <w:abstractNumId w:val="3"/>
  </w:num>
  <w:num w:numId="13" w16cid:durableId="2106343070">
    <w:abstractNumId w:val="2"/>
  </w:num>
  <w:num w:numId="14" w16cid:durableId="1912277807">
    <w:abstractNumId w:val="1"/>
  </w:num>
  <w:num w:numId="15" w16cid:durableId="576480375">
    <w:abstractNumId w:val="0"/>
  </w:num>
  <w:num w:numId="16" w16cid:durableId="1493906876">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1F1B78"/>
    <w:rsid w:val="00230E74"/>
    <w:rsid w:val="00231DFC"/>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543E"/>
    <w:rsid w:val="005B68C7"/>
    <w:rsid w:val="005B7054"/>
    <w:rsid w:val="005C353B"/>
    <w:rsid w:val="005D5981"/>
    <w:rsid w:val="005F30CB"/>
    <w:rsid w:val="00612644"/>
    <w:rsid w:val="00620F21"/>
    <w:rsid w:val="00625006"/>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34FD4"/>
    <w:rsid w:val="00943250"/>
    <w:rsid w:val="00951E9B"/>
    <w:rsid w:val="00963A2D"/>
    <w:rsid w:val="00992AEA"/>
    <w:rsid w:val="00997145"/>
    <w:rsid w:val="009A6F54"/>
    <w:rsid w:val="009E74FB"/>
    <w:rsid w:val="009F51A2"/>
    <w:rsid w:val="009F7637"/>
    <w:rsid w:val="00A349D8"/>
    <w:rsid w:val="00A372AC"/>
    <w:rsid w:val="00A43C3A"/>
    <w:rsid w:val="00A6057A"/>
    <w:rsid w:val="00A74017"/>
    <w:rsid w:val="00A81A0F"/>
    <w:rsid w:val="00A828F3"/>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C5E58"/>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2D6AE8C"/>
  <w15:docId w15:val="{0F65605E-759A-416F-A43E-8F02A68F2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fr-FR"/>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fr-FR"/>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fr-FR"/>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fr-FR"/>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fr-FR"/>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fr-FR"/>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fr-FR"/>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fr-FR"/>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fr-FR"/>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fr-FR"/>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fr-FR"/>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fr-FR"/>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fr-FR"/>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fr-FR"/>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fr-FR"/>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fr-FR"/>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fr-FR"/>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fr-FR"/>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fr-FR"/>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fr-FR"/>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fr-FR"/>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fr-FR"/>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fr-FR"/>
    </w:rPr>
  </w:style>
  <w:style w:type="character" w:styleId="BookTitle">
    <w:name w:val="Book Title"/>
    <w:basedOn w:val="DefaultParagraphFont"/>
    <w:uiPriority w:val="99"/>
    <w:semiHidden/>
    <w:qFormat/>
    <w:rsid w:val="00EF68C9"/>
    <w:rPr>
      <w:b/>
      <w:bCs/>
      <w:smallCaps/>
      <w:spacing w:val="5"/>
      <w:lang w:val="fr-FR"/>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fr-FR"/>
    </w:rPr>
  </w:style>
  <w:style w:type="character" w:styleId="CommentReference">
    <w:name w:val="annotation reference"/>
    <w:basedOn w:val="DefaultParagraphFont"/>
    <w:uiPriority w:val="99"/>
    <w:semiHidden/>
    <w:unhideWhenUsed/>
    <w:rsid w:val="00EF68C9"/>
    <w:rPr>
      <w:sz w:val="16"/>
      <w:szCs w:val="16"/>
      <w:lang w:val="fr-FR"/>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fr-FR"/>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fr-FR"/>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fr-FR"/>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fr-FR"/>
    </w:rPr>
  </w:style>
  <w:style w:type="character" w:styleId="Emphasis">
    <w:name w:val="Emphasis"/>
    <w:basedOn w:val="DefaultParagraphFont"/>
    <w:uiPriority w:val="99"/>
    <w:semiHidden/>
    <w:qFormat/>
    <w:rsid w:val="00EF68C9"/>
    <w:rPr>
      <w:i/>
      <w:iCs/>
      <w:lang w:val="fr-FR"/>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fr-FR"/>
    </w:rPr>
  </w:style>
  <w:style w:type="character" w:styleId="HTMLAcronym">
    <w:name w:val="HTML Acronym"/>
    <w:basedOn w:val="DefaultParagraphFont"/>
    <w:uiPriority w:val="99"/>
    <w:semiHidden/>
    <w:unhideWhenUsed/>
    <w:rsid w:val="00EF68C9"/>
    <w:rPr>
      <w:lang w:val="fr-FR"/>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fr-FR"/>
    </w:rPr>
  </w:style>
  <w:style w:type="character" w:styleId="HTMLCite">
    <w:name w:val="HTML Cite"/>
    <w:basedOn w:val="DefaultParagraphFont"/>
    <w:uiPriority w:val="99"/>
    <w:semiHidden/>
    <w:unhideWhenUsed/>
    <w:rsid w:val="00EF68C9"/>
    <w:rPr>
      <w:i/>
      <w:iCs/>
      <w:lang w:val="fr-FR"/>
    </w:rPr>
  </w:style>
  <w:style w:type="character" w:styleId="HTMLCode">
    <w:name w:val="HTML Code"/>
    <w:basedOn w:val="DefaultParagraphFont"/>
    <w:uiPriority w:val="99"/>
    <w:semiHidden/>
    <w:unhideWhenUsed/>
    <w:rsid w:val="00EF68C9"/>
    <w:rPr>
      <w:rFonts w:ascii="Consolas" w:hAnsi="Consolas" w:cs="Consolas"/>
      <w:sz w:val="20"/>
      <w:szCs w:val="20"/>
      <w:lang w:val="fr-FR"/>
    </w:rPr>
  </w:style>
  <w:style w:type="character" w:styleId="HTMLDefinition">
    <w:name w:val="HTML Definition"/>
    <w:basedOn w:val="DefaultParagraphFont"/>
    <w:uiPriority w:val="99"/>
    <w:semiHidden/>
    <w:unhideWhenUsed/>
    <w:rsid w:val="00EF68C9"/>
    <w:rPr>
      <w:i/>
      <w:iCs/>
      <w:lang w:val="fr-FR"/>
    </w:rPr>
  </w:style>
  <w:style w:type="character" w:styleId="HTMLKeyboard">
    <w:name w:val="HTML Keyboard"/>
    <w:basedOn w:val="DefaultParagraphFont"/>
    <w:uiPriority w:val="99"/>
    <w:semiHidden/>
    <w:unhideWhenUsed/>
    <w:rsid w:val="00EF68C9"/>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fr-FR"/>
    </w:rPr>
  </w:style>
  <w:style w:type="character" w:styleId="HTMLSample">
    <w:name w:val="HTML Sample"/>
    <w:basedOn w:val="DefaultParagraphFont"/>
    <w:uiPriority w:val="99"/>
    <w:semiHidden/>
    <w:unhideWhenUsed/>
    <w:rsid w:val="00EF68C9"/>
    <w:rPr>
      <w:rFonts w:ascii="Consolas" w:hAnsi="Consolas" w:cs="Consolas"/>
      <w:sz w:val="24"/>
      <w:szCs w:val="24"/>
      <w:lang w:val="fr-FR"/>
    </w:rPr>
  </w:style>
  <w:style w:type="character" w:styleId="HTMLTypewriter">
    <w:name w:val="HTML Typewriter"/>
    <w:basedOn w:val="DefaultParagraphFont"/>
    <w:uiPriority w:val="99"/>
    <w:semiHidden/>
    <w:unhideWhenUsed/>
    <w:rsid w:val="00EF68C9"/>
    <w:rPr>
      <w:rFonts w:ascii="Consolas" w:hAnsi="Consolas" w:cs="Consolas"/>
      <w:sz w:val="20"/>
      <w:szCs w:val="20"/>
      <w:lang w:val="fr-FR"/>
    </w:rPr>
  </w:style>
  <w:style w:type="character" w:styleId="HTMLVariable">
    <w:name w:val="HTML Variable"/>
    <w:basedOn w:val="DefaultParagraphFont"/>
    <w:uiPriority w:val="99"/>
    <w:semiHidden/>
    <w:unhideWhenUsed/>
    <w:rsid w:val="00EF68C9"/>
    <w:rPr>
      <w:i/>
      <w:iCs/>
      <w:lang w:val="fr-FR"/>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fr-FR"/>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fr-FR"/>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fr-FR"/>
    </w:rPr>
  </w:style>
  <w:style w:type="character" w:styleId="LineNumber">
    <w:name w:val="line number"/>
    <w:basedOn w:val="DefaultParagraphFont"/>
    <w:uiPriority w:val="99"/>
    <w:semiHidden/>
    <w:unhideWhenUsed/>
    <w:rsid w:val="00EF68C9"/>
    <w:rPr>
      <w:lang w:val="fr-FR"/>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fr-FR"/>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fr-FR"/>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fr-FR"/>
    </w:rPr>
  </w:style>
  <w:style w:type="character" w:styleId="PageNumber">
    <w:name w:val="page number"/>
    <w:basedOn w:val="DefaultParagraphFont"/>
    <w:uiPriority w:val="99"/>
    <w:semiHidden/>
    <w:unhideWhenUsed/>
    <w:rsid w:val="00EF68C9"/>
    <w:rPr>
      <w:lang w:val="fr-FR"/>
    </w:rPr>
  </w:style>
  <w:style w:type="character" w:styleId="PlaceholderText">
    <w:name w:val="Placeholder Text"/>
    <w:basedOn w:val="DefaultParagraphFont"/>
    <w:uiPriority w:val="99"/>
    <w:semiHidden/>
    <w:rsid w:val="00EF68C9"/>
    <w:rPr>
      <w:color w:val="808080"/>
      <w:lang w:val="fr-FR"/>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fr-FR"/>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fr-FR"/>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fr-FR"/>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fr-FR"/>
    </w:rPr>
  </w:style>
  <w:style w:type="character" w:styleId="Strong">
    <w:name w:val="Strong"/>
    <w:basedOn w:val="DefaultParagraphFont"/>
    <w:uiPriority w:val="99"/>
    <w:semiHidden/>
    <w:qFormat/>
    <w:rsid w:val="00EF68C9"/>
    <w:rPr>
      <w:b/>
      <w:bCs/>
      <w:lang w:val="fr-FR"/>
    </w:rPr>
  </w:style>
  <w:style w:type="character" w:styleId="SubtleEmphasis">
    <w:name w:val="Subtle Emphasis"/>
    <w:basedOn w:val="DefaultParagraphFont"/>
    <w:uiPriority w:val="99"/>
    <w:semiHidden/>
    <w:qFormat/>
    <w:rsid w:val="00EF68C9"/>
    <w:rPr>
      <w:i/>
      <w:iCs/>
      <w:color w:val="808080" w:themeColor="text1" w:themeTint="7F"/>
      <w:lang w:val="fr-FR"/>
    </w:rPr>
  </w:style>
  <w:style w:type="character" w:styleId="SubtleReference">
    <w:name w:val="Subtle Reference"/>
    <w:basedOn w:val="DefaultParagraphFont"/>
    <w:uiPriority w:val="99"/>
    <w:semiHidden/>
    <w:qFormat/>
    <w:rsid w:val="00EF68C9"/>
    <w:rPr>
      <w:smallCaps/>
      <w:color w:val="C0504D" w:themeColor="accent2"/>
      <w:u w:val="single"/>
      <w:lang w:val="fr-FR"/>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fr-FR"/>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fr-FR"/>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fr-FR"/>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fr-FR"/>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fr-FR"/>
    </w:rPr>
  </w:style>
  <w:style w:type="character" w:customStyle="1" w:styleId="SmartLinkError1">
    <w:name w:val="SmartLinkError1"/>
    <w:basedOn w:val="DefaultParagraphFont"/>
    <w:uiPriority w:val="99"/>
    <w:semiHidden/>
    <w:unhideWhenUsed/>
    <w:rsid w:val="00EF68C9"/>
    <w:rPr>
      <w:color w:val="FF0000"/>
      <w:lang w:val="fr-FR"/>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embers.wto.org/crnattachments/2025/TBT/COL/25_08498_00_s.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mailto:adriana.saboya@ansv.gov.co" TargetMode="External" /><Relationship Id="rId8" Type="http://schemas.openxmlformats.org/officeDocument/2006/relationships/hyperlink" Target="mailto:puntocontacto@mincit.gov.co" TargetMode="External" /><Relationship Id="rId9" Type="http://schemas.openxmlformats.org/officeDocument/2006/relationships/hyperlink" Target="https://ansv.gov.co/es/atencion-ciudadania/participacion/consulta/sistemas-de-frenado-para-uso-en-vehiculos-tip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ermaz\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d4ce11db-84e4-47e0-882f-e6195a52979f</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042FF-4977-4562-9290-94EF1935755C}">
  <ds:schemaRefs>
    <ds:schemaRef ds:uri="http://schemas.titus.com/TitusProperties/"/>
    <ds:schemaRef ds:uri=""/>
  </ds:schemaRefs>
</ds:datastoreItem>
</file>

<file path=customXml/itemProps2.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3</TotalTime>
  <Pages>2</Pages>
  <Words>482</Words>
  <Characters>2753</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lastModifiedBy>Mermaz, Johann</cp:lastModifiedBy>
  <cp:revision>5</cp:revision>
  <cp:lastPrinted>2019-10-31T07:40:00Z</cp:lastPrinted>
  <dcterms:created xsi:type="dcterms:W3CDTF">2025-12-05T08:31:00Z</dcterms:created>
  <dcterms:modified xsi:type="dcterms:W3CDTF">2025-12-09T09:52:00Z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d4ce11db-84e4-47e0-882f-e6195a52979f</vt:lpwstr>
  </property>
  <property fmtid="{D5CDD505-2E9C-101B-9397-08002B2CF9AE}" pid="3" name="WTOCLASSIFICATION">
    <vt:lpwstr>WTO OFFICIAL</vt:lpwstr>
  </property>
</Properties>
</file>