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602DD27" w14:textId="77777777">
      <w:pPr>
        <w:pStyle w:val="Title"/>
      </w:pPr>
      <w:r w:rsidRPr="002F663C">
        <w:t>NOTIFICATION</w:t>
      </w:r>
    </w:p>
    <w:p w:rsidR="002F663C" w:rsidRPr="002F663C" w:rsidP="00DD3DD7" w14:paraId="16EB0E31" w14:textId="77777777">
      <w:pPr>
        <w:pStyle w:val="Title3"/>
      </w:pPr>
      <w:r w:rsidRPr="002F663C">
        <w:t>Addendum</w:t>
      </w:r>
    </w:p>
    <w:p w:rsidR="002F663C" w:rsidP="001E2E4A" w14:paraId="528C2C4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68BFF74" w14:textId="77777777">
      <w:pPr>
        <w:rPr>
          <w:rFonts w:eastAsia="Calibri" w:cs="Times New Roman"/>
        </w:rPr>
      </w:pPr>
    </w:p>
    <w:p w:rsidR="002F663C" w:rsidRPr="002F663C" w:rsidP="002F663C" w14:paraId="23D3E68D" w14:textId="77777777">
      <w:pPr>
        <w:jc w:val="center"/>
        <w:rPr>
          <w:rFonts w:eastAsia="Calibri" w:cs="Times New Roman"/>
          <w:b/>
        </w:rPr>
      </w:pPr>
      <w:r w:rsidRPr="002F663C">
        <w:rPr>
          <w:rFonts w:eastAsia="Calibri" w:cs="Times New Roman"/>
          <w:b/>
        </w:rPr>
        <w:t>_______________</w:t>
      </w:r>
    </w:p>
    <w:p w:rsidR="002F663C" w:rsidP="002F663C" w14:paraId="134067CC" w14:textId="77777777">
      <w:pPr>
        <w:rPr>
          <w:rFonts w:eastAsia="Calibri" w:cs="Times New Roman"/>
        </w:rPr>
      </w:pPr>
    </w:p>
    <w:p w:rsidR="00C14444" w:rsidRPr="002F663C" w:rsidP="002F663C" w14:paraId="28DAB5E8" w14:textId="77777777">
      <w:pPr>
        <w:rPr>
          <w:rFonts w:eastAsia="Calibri" w:cs="Times New Roman"/>
        </w:rPr>
      </w:pPr>
    </w:p>
    <w:p w:rsidR="002F663C" w:rsidRPr="002F663C" w:rsidP="002F663C" w14:paraId="698152FB"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Event Data Recorders</w:t>
      </w:r>
    </w:p>
    <w:p w:rsidR="002F663C" w:rsidRPr="002F663C" w:rsidP="002F663C" w14:paraId="21594EE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C468E5C"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A341CEC"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F44BD2F" w14:textId="77777777" w:rsidTr="00E9471B">
        <w:tblPrEx>
          <w:tblW w:w="9049" w:type="dxa"/>
          <w:tblLayout w:type="fixed"/>
          <w:tblLook w:val="04A0"/>
        </w:tblPrEx>
        <w:tc>
          <w:tcPr>
            <w:tcW w:w="851" w:type="dxa"/>
          </w:tcPr>
          <w:p w:rsidR="002F663C" w:rsidRPr="00711F9C" w:rsidP="00C14444" w14:paraId="79D0266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15D319A"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DA6F017" w14:textId="77777777" w:rsidTr="00E9471B">
        <w:tblPrEx>
          <w:tblW w:w="9049" w:type="dxa"/>
          <w:tblLayout w:type="fixed"/>
          <w:tblLook w:val="04A0"/>
        </w:tblPrEx>
        <w:tc>
          <w:tcPr>
            <w:tcW w:w="851" w:type="dxa"/>
          </w:tcPr>
          <w:p w:rsidR="002F663C" w:rsidRPr="00711F9C" w:rsidP="00C14444" w14:paraId="7B1A7E8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275D63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D9DEB05" w14:textId="77777777" w:rsidTr="00E9471B">
        <w:tblPrEx>
          <w:tblW w:w="9049" w:type="dxa"/>
          <w:tblLayout w:type="fixed"/>
          <w:tblLook w:val="04A0"/>
        </w:tblPrEx>
        <w:tc>
          <w:tcPr>
            <w:tcW w:w="851" w:type="dxa"/>
          </w:tcPr>
          <w:p w:rsidR="002F663C" w:rsidRPr="00711F9C" w:rsidP="00C14444" w14:paraId="4855777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1D543F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66863030" w14:textId="77777777" w:rsidTr="00E9471B">
        <w:tblPrEx>
          <w:tblW w:w="9049" w:type="dxa"/>
          <w:tblLayout w:type="fixed"/>
          <w:tblLook w:val="04A0"/>
        </w:tblPrEx>
        <w:tc>
          <w:tcPr>
            <w:tcW w:w="851" w:type="dxa"/>
          </w:tcPr>
          <w:p w:rsidR="002F663C" w:rsidRPr="00711F9C" w:rsidP="00C14444" w14:paraId="6E4DFBC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0C1D14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91D829B" w14:textId="77777777" w:rsidTr="00E9471B">
        <w:tblPrEx>
          <w:tblW w:w="9049" w:type="dxa"/>
          <w:tblLayout w:type="fixed"/>
          <w:tblLook w:val="04A0"/>
        </w:tblPrEx>
        <w:tc>
          <w:tcPr>
            <w:tcW w:w="851" w:type="dxa"/>
          </w:tcPr>
          <w:p w:rsidR="002F663C" w:rsidRPr="00711F9C" w:rsidP="00C14444" w14:paraId="44F37F6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C6B3D5A"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D1C0AAD" w14:textId="77777777" w:rsidTr="00E9471B">
        <w:tblPrEx>
          <w:tblW w:w="9049" w:type="dxa"/>
          <w:tblLayout w:type="fixed"/>
          <w:tblLook w:val="04A0"/>
        </w:tblPrEx>
        <w:tc>
          <w:tcPr>
            <w:tcW w:w="851" w:type="dxa"/>
          </w:tcPr>
          <w:p w:rsidR="002F663C" w:rsidRPr="00711F9C" w:rsidP="00C14444" w14:paraId="0C28572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2A3C9F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087999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6398D8C" w14:textId="77777777" w:rsidTr="00E9471B">
        <w:tblPrEx>
          <w:tblW w:w="9049" w:type="dxa"/>
          <w:tblLayout w:type="fixed"/>
          <w:tblLook w:val="04A0"/>
        </w:tblPrEx>
        <w:tc>
          <w:tcPr>
            <w:tcW w:w="851" w:type="dxa"/>
          </w:tcPr>
          <w:p w:rsidR="002F663C" w:rsidRPr="00711F9C" w:rsidP="00C14444" w14:paraId="47D2710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460B40"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D2A98E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423FC79" w14:textId="77777777" w:rsidTr="00E9471B">
        <w:tblPrEx>
          <w:tblW w:w="9049" w:type="dxa"/>
          <w:tblLayout w:type="fixed"/>
          <w:tblLook w:val="04A0"/>
        </w:tblPrEx>
        <w:tc>
          <w:tcPr>
            <w:tcW w:w="851" w:type="dxa"/>
          </w:tcPr>
          <w:p w:rsidR="002F663C" w:rsidRPr="00711F9C" w:rsidP="00C14444" w14:paraId="38F7F86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C02026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3534F58" w14:textId="77777777" w:rsidTr="00E9471B">
        <w:tblPrEx>
          <w:tblW w:w="9049" w:type="dxa"/>
          <w:tblLayout w:type="fixed"/>
          <w:tblLook w:val="04A0"/>
        </w:tblPrEx>
        <w:tc>
          <w:tcPr>
            <w:tcW w:w="851" w:type="dxa"/>
            <w:tcBorders>
              <w:bottom w:val="double" w:sz="4" w:space="0" w:color="auto"/>
            </w:tcBorders>
          </w:tcPr>
          <w:p w:rsidR="002F663C" w:rsidRPr="00711F9C" w:rsidP="00C14444" w14:paraId="43995E8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6DCB960A"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647DE4B" w14:textId="77777777">
            <w:pPr>
              <w:spacing w:before="120" w:after="120"/>
              <w:rPr>
                <w:rFonts w:eastAsia="Calibri" w:cs="Times New Roman"/>
              </w:rPr>
            </w:pPr>
            <w:r>
              <w:rPr>
                <w:rFonts w:eastAsia="Calibri" w:cs="Times New Roman"/>
              </w:rPr>
              <w:t>Notice of proposed rulemaking (NPRM); response to petitions for reconsideration</w:t>
            </w:r>
          </w:p>
          <w:p w:rsidR="00467A46" w:rsidP="00EB7B40" w14:paraId="7E27A302" w14:textId="77777777">
            <w:pPr>
              <w:spacing w:before="120" w:after="120"/>
              <w:rPr>
                <w:rFonts w:eastAsia="Calibri" w:cs="Times New Roman"/>
              </w:rPr>
            </w:pPr>
            <w:r>
              <w:rPr>
                <w:rFonts w:eastAsia="Calibri" w:cs="Times New Roman"/>
              </w:rPr>
              <w:t>NHTSA is proposing to delay the compliance date from 1 September 2027, to 1 September 2028, and implement a phase-in period for EDRs to meet the new requirements.</w:t>
            </w:r>
          </w:p>
          <w:p w:rsidR="00467A46" w:rsidP="00EB7B40" w14:paraId="51A573AB"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https://members.wto.org/crnattachments/2025/TBT/USA/25_08553_00_e.pdf</w:t>
              </w:r>
            </w:hyperlink>
          </w:p>
        </w:tc>
      </w:tr>
      <w:bookmarkEnd w:id="0"/>
    </w:tbl>
    <w:p w:rsidR="002F663C" w:rsidRPr="002F663C" w:rsidP="002F663C" w14:paraId="3E17D635" w14:textId="77777777">
      <w:pPr>
        <w:jc w:val="left"/>
        <w:rPr>
          <w:rFonts w:eastAsia="Calibri" w:cs="Times New Roman"/>
          <w:highlight w:val="yellow"/>
        </w:rPr>
      </w:pPr>
    </w:p>
    <w:p w:rsidR="003971FF" w:rsidRPr="007F6EA2" w:rsidP="00B16ACF" w14:paraId="3381970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National Highway Traffic Safety Administration (NHTSA) published a </w:t>
      </w:r>
      <w:hyperlink r:id="rId8" w:history="1">
        <w:r w:rsidRPr="002F663C">
          <w:rPr>
            <w:rFonts w:eastAsia="Calibri" w:cs="Times New Roman"/>
            <w:color w:val="0000FF"/>
            <w:szCs w:val="18"/>
            <w:u w:val="single"/>
          </w:rPr>
          <w:t>final rule</w:t>
        </w:r>
      </w:hyperlink>
      <w:r w:rsidRPr="002F663C">
        <w:rPr>
          <w:rFonts w:eastAsia="Calibri" w:cs="Times New Roman"/>
          <w:szCs w:val="18"/>
        </w:rPr>
        <w:t xml:space="preserve"> on 18 December 2024 (notified as </w:t>
      </w:r>
      <w:hyperlink r:id="rId9" w:history="1">
        <w:r w:rsidRPr="002F663C">
          <w:rPr>
            <w:rFonts w:eastAsia="Calibri" w:cs="Times New Roman"/>
            <w:color w:val="0000FF"/>
            <w:szCs w:val="18"/>
            <w:u w:val="single"/>
          </w:rPr>
          <w:t>G/TBT/N/USA/1881/Add.1</w:t>
        </w:r>
      </w:hyperlink>
      <w:r w:rsidRPr="002F663C">
        <w:rPr>
          <w:rFonts w:eastAsia="Calibri" w:cs="Times New Roman"/>
          <w:szCs w:val="18"/>
        </w:rPr>
        <w:t>), in response to a mandate of the Fixing America's Surface Transportation Act (</w:t>
      </w:r>
      <w:hyperlink r:id="rId10" w:history="1">
        <w:r w:rsidRPr="002F663C">
          <w:rPr>
            <w:rFonts w:eastAsia="Calibri" w:cs="Times New Roman"/>
            <w:color w:val="0000FF"/>
            <w:szCs w:val="18"/>
            <w:u w:val="single"/>
          </w:rPr>
          <w:t>FAST Act</w:t>
        </w:r>
      </w:hyperlink>
      <w:r w:rsidRPr="002F663C">
        <w:rPr>
          <w:rFonts w:eastAsia="Calibri" w:cs="Times New Roman"/>
          <w:szCs w:val="18"/>
        </w:rPr>
        <w:t>) to establish the appropriate recording period in NHTSA's Event Data Recorder (EDR) regulation (</w:t>
      </w:r>
      <w:hyperlink r:id="rId11" w:history="1">
        <w:r w:rsidRPr="002F663C">
          <w:rPr>
            <w:rFonts w:eastAsia="Calibri" w:cs="Times New Roman"/>
            <w:color w:val="0000FF"/>
            <w:szCs w:val="18"/>
            <w:u w:val="single"/>
          </w:rPr>
          <w:t>49 CFR part 563</w:t>
        </w:r>
      </w:hyperlink>
      <w:r w:rsidRPr="002F663C">
        <w:rPr>
          <w:rFonts w:eastAsia="Calibri" w:cs="Times New Roman"/>
          <w:szCs w:val="18"/>
        </w:rPr>
        <w:t xml:space="preserve">). The final rule amended the pre-crash data capture requirements of EDRs by increasing the recording duration and sample rate from 5 seconds at 2 Hz to 20 seconds at 10 Hz. The agency received three petitions for reconsideration from the Alliance of Automotive Innovation, the EDR Committee of SAE International, and FCA US LLC (a subsidiary of Stellantis N.V.) in response to the final rule. NHTSA is proposing to delay the </w:t>
      </w:r>
      <w:r w:rsidRPr="002F663C">
        <w:rPr>
          <w:rFonts w:eastAsia="Calibri" w:cs="Times New Roman"/>
          <w:szCs w:val="18"/>
        </w:rPr>
        <w:t>compliance date from 1 September 2027, to 1 September 2028, and implement a phase-in p</w:t>
      </w:r>
      <w:r w:rsidRPr="002F663C">
        <w:rPr>
          <w:rFonts w:eastAsia="Calibri" w:cs="Times New Roman"/>
          <w:szCs w:val="18"/>
        </w:rPr>
        <w:t>eriod for EDRs to meet the new requirements.</w:t>
      </w:r>
    </w:p>
    <w:p w:rsidR="00A23ECE" w:rsidRPr="002F663C" w:rsidP="00B16ACF" w14:paraId="0D8BD757" w14:textId="77777777">
      <w:pPr>
        <w:spacing w:before="120" w:after="120"/>
        <w:rPr>
          <w:rFonts w:eastAsia="Calibri" w:cs="Times New Roman"/>
          <w:szCs w:val="18"/>
        </w:rPr>
      </w:pPr>
      <w:r w:rsidRPr="002F663C">
        <w:rPr>
          <w:rFonts w:eastAsia="Calibri" w:cs="Times New Roman"/>
          <w:szCs w:val="18"/>
        </w:rPr>
        <w:t xml:space="preserve">90 Federal Register (FR) 54619, 28 November 2024; </w:t>
      </w:r>
      <w:hyperlink r:id="rId12"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 </w:t>
      </w:r>
      <w:hyperlink r:id="rId11" w:history="1">
        <w:r w:rsidRPr="002F663C">
          <w:rPr>
            <w:rFonts w:eastAsia="Calibri" w:cs="Times New Roman"/>
            <w:color w:val="0000FF"/>
            <w:szCs w:val="18"/>
            <w:u w:val="single"/>
          </w:rPr>
          <w:t>563</w:t>
        </w:r>
      </w:hyperlink>
      <w:r w:rsidRPr="002F663C">
        <w:rPr>
          <w:rFonts w:eastAsia="Calibri" w:cs="Times New Roman"/>
          <w:szCs w:val="18"/>
        </w:rPr>
        <w:t xml:space="preserve"> and </w:t>
      </w:r>
      <w:hyperlink r:id="rId13" w:history="1">
        <w:r w:rsidRPr="002F663C">
          <w:rPr>
            <w:rFonts w:eastAsia="Calibri" w:cs="Times New Roman"/>
            <w:color w:val="0000FF"/>
            <w:szCs w:val="18"/>
            <w:u w:val="single"/>
          </w:rPr>
          <w:t>585</w:t>
        </w:r>
      </w:hyperlink>
      <w:r w:rsidRPr="002F663C">
        <w:rPr>
          <w:rFonts w:eastAsia="Calibri" w:cs="Times New Roman"/>
          <w:szCs w:val="18"/>
        </w:rPr>
        <w:t>:</w:t>
      </w:r>
    </w:p>
    <w:p w:rsidR="00A23ECE" w:rsidRPr="002F663C" w:rsidP="00B16ACF" w14:paraId="48D0D861"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https://www.govinfo.gov/content/pkg/FR-2025-11-28/html/2025-21506.htm</w:t>
        </w:r>
      </w:hyperlink>
    </w:p>
    <w:p w:rsidR="00A23ECE" w:rsidRPr="002F663C" w:rsidP="00B16ACF" w14:paraId="0F09EEC9"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https://www.govinfo.gov/content/pkg/FR-2025-11-28/pdf/2025-21506.pdf</w:t>
        </w:r>
      </w:hyperlink>
    </w:p>
    <w:p w:rsidR="00A23ECE" w:rsidRPr="002F663C" w:rsidP="00B16ACF" w14:paraId="0B1A5DEE" w14:textId="77777777">
      <w:pPr>
        <w:spacing w:before="120" w:after="120"/>
        <w:rPr>
          <w:rFonts w:eastAsia="Calibri" w:cs="Times New Roman"/>
          <w:szCs w:val="18"/>
        </w:rPr>
      </w:pPr>
      <w:r w:rsidRPr="002F663C">
        <w:rPr>
          <w:rFonts w:eastAsia="Calibri" w:cs="Times New Roman"/>
          <w:szCs w:val="18"/>
        </w:rPr>
        <w:t>Comments must be received by 29 December 2025. In compliance with the Paperwork Reduction Act, NHTSA is also seeking comment on a reinstatement with modification to a previously approved information collection. For additional information, see the Paperwork Reduction Act section under the Rulemaking Analyses and Notices section below. All comments relating to the information collection requirements should be submitted to NHTSA and to the Office of Management and Budget (OMB) at the address listed in the ADDR</w:t>
      </w:r>
      <w:r w:rsidRPr="002F663C">
        <w:rPr>
          <w:rFonts w:eastAsia="Calibri" w:cs="Times New Roman"/>
          <w:szCs w:val="18"/>
        </w:rPr>
        <w:t>ESSES section on or before 29 December 2025.</w:t>
      </w:r>
    </w:p>
    <w:p w:rsidR="00A23ECE" w:rsidRPr="002F663C" w:rsidP="00B16ACF" w14:paraId="0D921CD3" w14:textId="77777777">
      <w:pPr>
        <w:spacing w:before="120" w:after="120"/>
        <w:rPr>
          <w:rFonts w:eastAsia="Calibri" w:cs="Times New Roman"/>
          <w:szCs w:val="18"/>
        </w:rPr>
      </w:pPr>
      <w:r w:rsidRPr="002F663C">
        <w:rPr>
          <w:rFonts w:eastAsia="Calibri" w:cs="Times New Roman"/>
          <w:szCs w:val="18"/>
        </w:rPr>
        <w:t xml:space="preserve">Proposed Compliance Dates: NHTSA proposes delaying the compliance date and adopting a 4-year phase-in period to comply with the requirements in </w:t>
      </w:r>
      <w:hyperlink r:id="rId11" w:history="1">
        <w:r w:rsidRPr="002F663C">
          <w:rPr>
            <w:rFonts w:eastAsia="Calibri" w:cs="Times New Roman"/>
            <w:color w:val="0000FF"/>
            <w:szCs w:val="18"/>
            <w:u w:val="single"/>
          </w:rPr>
          <w:t>49 CFR part 563</w:t>
        </w:r>
      </w:hyperlink>
      <w:r w:rsidRPr="002F663C">
        <w:rPr>
          <w:rFonts w:eastAsia="Calibri" w:cs="Times New Roman"/>
          <w:szCs w:val="18"/>
        </w:rPr>
        <w:t xml:space="preserve"> as amended by the </w:t>
      </w:r>
      <w:hyperlink r:id="rId8" w:history="1">
        <w:r w:rsidRPr="002F663C">
          <w:rPr>
            <w:rFonts w:eastAsia="Calibri" w:cs="Times New Roman"/>
            <w:color w:val="0000FF"/>
            <w:szCs w:val="18"/>
            <w:u w:val="single"/>
          </w:rPr>
          <w:t>final rule</w:t>
        </w:r>
      </w:hyperlink>
      <w:r w:rsidRPr="002F663C">
        <w:rPr>
          <w:rFonts w:eastAsia="Calibri" w:cs="Times New Roman"/>
          <w:szCs w:val="18"/>
        </w:rPr>
        <w:t xml:space="preserve"> published on 18 December 2024, ''Event Data Recorders.'' The proposal would require that 25 percent of a manufacturer's applicable vehicles produced from 1 September 2028, to 31 August 2029, comply with Part 563, followed by 50 percent from 1 September 2029, to 31 August 2030, 75 percent from 1 September 2030, to 31 August 2031, and 100 percent on and after 1 September 2031. NHTSA also proposes that vehicles manufactured in two or more stages or that are altered are not required to comply with the rule unt</w:t>
      </w:r>
      <w:r w:rsidRPr="002F663C">
        <w:rPr>
          <w:rFonts w:eastAsia="Calibri" w:cs="Times New Roman"/>
          <w:szCs w:val="18"/>
        </w:rPr>
        <w:t>il on or after 1 September 2031. Small-volume and limited-line manufacturers would be required to comply beginning on 1 September 2032. The proposal would permit voluntary early compliance.</w:t>
      </w:r>
    </w:p>
    <w:p w:rsidR="00A23ECE" w:rsidRPr="002F663C" w:rsidP="00B16ACF" w14:paraId="39688852" w14:textId="77777777">
      <w:pPr>
        <w:spacing w:before="120" w:after="120"/>
        <w:rPr>
          <w:rFonts w:eastAsia="Calibri" w:cs="Times New Roman"/>
          <w:szCs w:val="18"/>
        </w:rPr>
      </w:pPr>
      <w:r w:rsidRPr="002F663C">
        <w:rPr>
          <w:rFonts w:eastAsia="Calibri" w:cs="Times New Roman"/>
          <w:szCs w:val="18"/>
        </w:rPr>
        <w:t xml:space="preserve">This response to petitions for reconsideration is identified by Docket Number NHTSA-2025-0050. The Docket Folder is available from Regulations.gov at </w:t>
      </w:r>
      <w:hyperlink r:id="rId16" w:history="1">
        <w:r w:rsidRPr="002F663C">
          <w:rPr>
            <w:rFonts w:eastAsia="Calibri" w:cs="Times New Roman"/>
            <w:color w:val="0000FF"/>
            <w:szCs w:val="18"/>
            <w:u w:val="single"/>
          </w:rPr>
          <w:t>https://www.regulations.gov/docket/NHTSA-2025-0050/document</w:t>
        </w:r>
      </w:hyperlink>
      <w:r w:rsidRPr="002F663C">
        <w:rPr>
          <w:rFonts w:eastAsia="Calibri" w:cs="Times New Roman"/>
          <w:szCs w:val="18"/>
        </w:rPr>
        <w:t xml:space="preserve"> and provides access to primary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8"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9"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20" w:history="1">
        <w:r w:rsidRPr="002F663C">
          <w:rPr>
            <w:rFonts w:eastAsia="Calibri" w:cs="Times New Roman"/>
            <w:color w:val="0000FF"/>
            <w:szCs w:val="18"/>
            <w:u w:val="single"/>
          </w:rPr>
          <w:t>Eastern Time</w:t>
        </w:r>
      </w:hyperlink>
      <w:r w:rsidRPr="002F663C">
        <w:rPr>
          <w:rFonts w:eastAsia="Calibri" w:cs="Times New Roman"/>
          <w:szCs w:val="18"/>
        </w:rPr>
        <w:t xml:space="preserve"> on 29 December 2025. Comments received by the USA TBT Enquiry Point from WTO Members and their stakeholders will be shared with NHTSA and will also be submitted to the </w:t>
      </w:r>
      <w:hyperlink r:id="rId16"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A23ECE" w:rsidRPr="002F663C" w:rsidP="00B16ACF" w14:paraId="7A427812"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21" w:history="1">
        <w:r w:rsidRPr="002F663C">
          <w:rPr>
            <w:rFonts w:eastAsia="Calibri" w:cs="Times New Roman"/>
            <w:color w:val="0000FF"/>
            <w:szCs w:val="18"/>
            <w:u w:val="single"/>
          </w:rPr>
          <w:t>G/TBT/N/USA/1881</w:t>
        </w:r>
      </w:hyperlink>
      <w:r w:rsidRPr="002F663C">
        <w:rPr>
          <w:rFonts w:eastAsia="Calibri" w:cs="Times New Roman"/>
          <w:szCs w:val="18"/>
        </w:rPr>
        <w:t xml:space="preserve"> are identified by Docket Numbers </w:t>
      </w:r>
      <w:hyperlink r:id="rId22" w:history="1">
        <w:r w:rsidRPr="002F663C">
          <w:rPr>
            <w:rFonts w:eastAsia="Calibri" w:cs="Times New Roman"/>
            <w:color w:val="0000FF"/>
            <w:szCs w:val="18"/>
            <w:u w:val="single"/>
          </w:rPr>
          <w:t>NHTSA-2022-0021</w:t>
        </w:r>
      </w:hyperlink>
      <w:r w:rsidRPr="002F663C">
        <w:rPr>
          <w:rFonts w:eastAsia="Calibri" w:cs="Times New Roman"/>
          <w:szCs w:val="18"/>
        </w:rPr>
        <w:t xml:space="preserve"> and </w:t>
      </w:r>
      <w:hyperlink r:id="rId23" w:history="1">
        <w:r w:rsidRPr="002F663C">
          <w:rPr>
            <w:rFonts w:eastAsia="Calibri" w:cs="Times New Roman"/>
            <w:color w:val="0000FF"/>
            <w:szCs w:val="18"/>
            <w:u w:val="single"/>
          </w:rPr>
          <w:t>NHTSA-2024-0084</w:t>
        </w:r>
      </w:hyperlink>
      <w:r w:rsidRPr="002F663C">
        <w:rPr>
          <w:rFonts w:eastAsia="Calibri" w:cs="Times New Roman"/>
          <w:szCs w:val="18"/>
        </w:rPr>
        <w:t xml:space="preserve"> and provide access to primary and supporting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Numbers.</w:t>
      </w:r>
    </w:p>
    <w:p w:rsidR="006C5A96" w:rsidP="006C5A96" w14:paraId="630532EA" w14:textId="77777777">
      <w:pPr>
        <w:jc w:val="center"/>
        <w:rPr>
          <w:b/>
        </w:rPr>
      </w:pPr>
      <w:r w:rsidRPr="003971FF">
        <w:rPr>
          <w:b/>
        </w:rPr>
        <w:t>__________</w:t>
      </w:r>
    </w:p>
    <w:p w:rsidR="004D4D19" w:rsidP="007F38C2" w14:paraId="597F15E5" w14:textId="77777777">
      <w:pPr>
        <w:jc w:val="center"/>
        <w:rPr>
          <w:b/>
        </w:rPr>
      </w:pPr>
    </w:p>
    <w:p w:rsidR="00A1565D" w:rsidP="003971FF" w14:paraId="7B77D8B1" w14:textId="77777777">
      <w:pPr>
        <w:jc w:val="center"/>
        <w:rPr>
          <w:b/>
        </w:rPr>
      </w:pPr>
    </w:p>
    <w:sectPr w:rsidSect="006C5A96">
      <w:headerReference w:type="even" r:id="rId24"/>
      <w:headerReference w:type="default" r:id="rId25"/>
      <w:footerReference w:type="even" r:id="rId26"/>
      <w:footerReference w:type="default" r:id="rId27"/>
      <w:headerReference w:type="first" r:id="rId2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E82149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5A2603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EE649E6" w14:textId="77777777">
      <w:r>
        <w:separator/>
      </w:r>
    </w:p>
  </w:footnote>
  <w:footnote w:type="continuationSeparator" w:id="1">
    <w:p w:rsidR="004D3A6A" w:rsidP="00ED54E0" w14:paraId="295833CE" w14:textId="77777777">
      <w:r>
        <w:continuationSeparator/>
      </w:r>
    </w:p>
  </w:footnote>
  <w:footnote w:id="2">
    <w:p w:rsidR="007F6EA2" w14:paraId="6676380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EE0239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37C29C3E" w14:textId="77777777">
    <w:pPr>
      <w:pStyle w:val="Header"/>
      <w:pBdr>
        <w:bottom w:val="single" w:sz="4" w:space="1" w:color="auto"/>
      </w:pBdr>
      <w:tabs>
        <w:tab w:val="clear" w:pos="4513"/>
        <w:tab w:val="clear" w:pos="9027"/>
      </w:tabs>
      <w:jc w:val="center"/>
    </w:pPr>
  </w:p>
  <w:p w:rsidR="00DD3DD7" w:rsidRPr="00DD3DD7" w:rsidP="00DD3DD7" w14:paraId="3FF0D36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4EC2C2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889CDBB" w14:textId="77777777">
    <w:pPr>
      <w:pStyle w:val="Header"/>
      <w:pBdr>
        <w:bottom w:val="single" w:sz="4" w:space="1" w:color="auto"/>
      </w:pBdr>
      <w:tabs>
        <w:tab w:val="clear" w:pos="4513"/>
        <w:tab w:val="clear" w:pos="9027"/>
      </w:tabs>
      <w:jc w:val="center"/>
    </w:pPr>
    <w:bookmarkStart w:id="3" w:name="spsSymbolHeader"/>
    <w:r w:rsidRPr="00DD3DD7">
      <w:t>G/TBT/N/USA/1881/Add.3</w:t>
    </w:r>
    <w:bookmarkEnd w:id="3"/>
  </w:p>
  <w:p w:rsidR="00DD3DD7" w:rsidRPr="00DD3DD7" w:rsidP="00DD3DD7" w14:paraId="39A653C1" w14:textId="77777777">
    <w:pPr>
      <w:pStyle w:val="Header"/>
      <w:pBdr>
        <w:bottom w:val="single" w:sz="4" w:space="1" w:color="auto"/>
      </w:pBdr>
      <w:tabs>
        <w:tab w:val="clear" w:pos="4513"/>
        <w:tab w:val="clear" w:pos="9027"/>
      </w:tabs>
      <w:jc w:val="center"/>
    </w:pPr>
  </w:p>
  <w:p w:rsidR="00DD3DD7" w:rsidRPr="00DD3DD7" w:rsidP="00DD3DD7" w14:paraId="3CE7DE4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646B7A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823A0EB"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F8680ED"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60CE7C1" w14:textId="77777777">
          <w:pPr>
            <w:jc w:val="right"/>
            <w:rPr>
              <w:b/>
              <w:color w:val="FF0000"/>
              <w:szCs w:val="16"/>
            </w:rPr>
          </w:pPr>
          <w:r>
            <w:rPr>
              <w:b/>
              <w:color w:val="FF0000"/>
              <w:szCs w:val="16"/>
            </w:rPr>
            <w:t xml:space="preserve"> </w:t>
          </w:r>
        </w:p>
      </w:tc>
    </w:tr>
    <w:tr w14:paraId="786F44F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9E12DF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EAE1BD9" w14:textId="77777777">
          <w:pPr>
            <w:jc w:val="right"/>
            <w:rPr>
              <w:b/>
              <w:szCs w:val="16"/>
            </w:rPr>
          </w:pPr>
        </w:p>
      </w:tc>
    </w:tr>
    <w:tr w14:paraId="5C3D7A2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FB5E91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0BBC8BB" w14:textId="77777777">
          <w:pPr>
            <w:jc w:val="right"/>
            <w:rPr>
              <w:rFonts w:eastAsia="Calibri" w:cs="Times New Roman"/>
              <w:b/>
              <w:szCs w:val="16"/>
            </w:rPr>
          </w:pPr>
          <w:bookmarkStart w:id="4" w:name="bmkSymbols"/>
          <w:r w:rsidRPr="002F663C">
            <w:rPr>
              <w:rFonts w:eastAsia="Calibri" w:cs="Times New Roman"/>
              <w:b/>
              <w:szCs w:val="16"/>
            </w:rPr>
            <w:t>G/TBT/N/USA/1881/Add.3</w:t>
          </w:r>
          <w:bookmarkEnd w:id="4"/>
        </w:p>
        <w:p w:rsidR="00C14444" w:rsidRPr="00C14444" w:rsidP="00C14444" w14:paraId="1F10A2AD" w14:textId="77777777">
          <w:pPr>
            <w:jc w:val="center"/>
            <w:rPr>
              <w:szCs w:val="16"/>
            </w:rPr>
          </w:pPr>
        </w:p>
      </w:tc>
    </w:tr>
    <w:tr w14:paraId="5AC1D6D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D84D415" w14:textId="77777777"/>
      </w:tc>
      <w:tc>
        <w:tcPr>
          <w:tcW w:w="5448" w:type="dxa"/>
          <w:gridSpan w:val="2"/>
          <w:shd w:val="clear" w:color="auto" w:fill="FFFFFF"/>
          <w:tcMar>
            <w:left w:w="108" w:type="dxa"/>
            <w:right w:w="108" w:type="dxa"/>
          </w:tcMar>
          <w:vAlign w:val="center"/>
        </w:tcPr>
        <w:p w:rsidR="00ED54E0" w:rsidRPr="00182B84" w:rsidP="00425DC5" w14:paraId="2BC90B43" w14:textId="77777777">
          <w:pPr>
            <w:jc w:val="right"/>
            <w:rPr>
              <w:szCs w:val="16"/>
            </w:rPr>
          </w:pPr>
          <w:bookmarkStart w:id="5" w:name="bmkDate"/>
          <w:r w:rsidRPr="00182B84">
            <w:rPr>
              <w:szCs w:val="16"/>
            </w:rPr>
            <w:t>8 December 2025</w:t>
          </w:r>
          <w:bookmarkEnd w:id="5"/>
        </w:p>
      </w:tc>
    </w:tr>
    <w:tr w14:paraId="5C2CEA0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95AE2B8" w14:textId="77777777">
          <w:pPr>
            <w:jc w:val="left"/>
            <w:rPr>
              <w:b/>
            </w:rPr>
          </w:pPr>
          <w:bookmarkStart w:id="6" w:name="bmkSerial"/>
          <w:r>
            <w:rPr>
              <w:rFonts w:ascii="Verdana" w:eastAsia="Verdana" w:hAnsi="Verdana" w:cs="Verdana"/>
              <w:b w:val="0"/>
              <w:color w:val="FF0000"/>
              <w:sz w:val="18"/>
            </w:rPr>
            <w:t>(25-8180)</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EB8A20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BDDBE40"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21B795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30BEF0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4D88D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52536914">
    <w:abstractNumId w:val="9"/>
  </w:num>
  <w:num w:numId="2" w16cid:durableId="663240560">
    <w:abstractNumId w:val="7"/>
  </w:num>
  <w:num w:numId="3" w16cid:durableId="1175611713">
    <w:abstractNumId w:val="6"/>
  </w:num>
  <w:num w:numId="4" w16cid:durableId="947666250">
    <w:abstractNumId w:val="5"/>
  </w:num>
  <w:num w:numId="5" w16cid:durableId="303389804">
    <w:abstractNumId w:val="4"/>
  </w:num>
  <w:num w:numId="6" w16cid:durableId="249775149">
    <w:abstractNumId w:val="12"/>
  </w:num>
  <w:num w:numId="7" w16cid:durableId="1324309245">
    <w:abstractNumId w:val="11"/>
  </w:num>
  <w:num w:numId="8" w16cid:durableId="316803355">
    <w:abstractNumId w:val="10"/>
  </w:num>
  <w:num w:numId="9" w16cid:durableId="1613247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5473126">
    <w:abstractNumId w:val="13"/>
  </w:num>
  <w:num w:numId="11" w16cid:durableId="1892379170">
    <w:abstractNumId w:val="8"/>
  </w:num>
  <w:num w:numId="12" w16cid:durableId="1183663637">
    <w:abstractNumId w:val="3"/>
  </w:num>
  <w:num w:numId="13" w16cid:durableId="714963784">
    <w:abstractNumId w:val="2"/>
  </w:num>
  <w:num w:numId="14" w16cid:durableId="1459185789">
    <w:abstractNumId w:val="1"/>
  </w:num>
  <w:num w:numId="15" w16cid:durableId="2024628878">
    <w:abstractNumId w:val="0"/>
  </w:num>
  <w:num w:numId="16" w16cid:durableId="185808190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23ECE"/>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2EB4"/>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12D52"/>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13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fhwa.dot.gov\fastact\" TargetMode="External" /><Relationship Id="rId11" Type="http://schemas.openxmlformats.org/officeDocument/2006/relationships/hyperlink" Target="https://www.ecfr.gov/current/title-49/subtitle-B/chapter-V/part-563" TargetMode="External" /><Relationship Id="rId12" Type="http://schemas.openxmlformats.org/officeDocument/2006/relationships/hyperlink" Target="https://www.ecfr.gov/current/title-49" TargetMode="External" /><Relationship Id="rId13" Type="http://schemas.openxmlformats.org/officeDocument/2006/relationships/hyperlink" Target="https://www.ecfr.gov/current/title-49/subtitle-B/chapter-V/part-585" TargetMode="External" /><Relationship Id="rId14" Type="http://schemas.openxmlformats.org/officeDocument/2006/relationships/hyperlink" Target="https://www.govinfo.gov/content/pkg/FR-2025-11-28/html/2025-21506.htm" TargetMode="External" /><Relationship Id="rId15" Type="http://schemas.openxmlformats.org/officeDocument/2006/relationships/hyperlink" Target="https://www.govinfo.gov/content/pkg/FR-2025-11-28/pdf/2025-21506.pdf" TargetMode="External" /><Relationship Id="rId16" Type="http://schemas.openxmlformats.org/officeDocument/2006/relationships/hyperlink" Target="https://www.regulations.gov/docket/NHTSA-2025-0050/document" TargetMode="External" /><Relationship Id="rId17" Type="http://schemas.openxmlformats.org/officeDocument/2006/relationships/hyperlink" Target="http://www.regulations.gov/" TargetMode="External" /><Relationship Id="rId18" Type="http://schemas.openxmlformats.org/officeDocument/2006/relationships/hyperlink" Target="mailto:usatbtep@nist.gov" TargetMode="External" /><Relationship Id="rId19" Type="http://schemas.openxmlformats.org/officeDocument/2006/relationships/hyperlink" Target="http://time-time.net/times/time-zones/usa-canada/current-eastern-time-est.php" TargetMode="External" /><Relationship Id="rId2" Type="http://schemas.openxmlformats.org/officeDocument/2006/relationships/settings" Target="settings.xml" /><Relationship Id="rId20" Type="http://schemas.openxmlformats.org/officeDocument/2006/relationships/hyperlink" Target="https://24timezones.com/time-zone/et" TargetMode="External" /><Relationship Id="rId21" Type="http://schemas.openxmlformats.org/officeDocument/2006/relationships/hyperlink" Target="https://eping.wto.org/en/Search?viewData=G/TBT/N/USA/1881" TargetMode="External" /><Relationship Id="rId22" Type="http://schemas.openxmlformats.org/officeDocument/2006/relationships/hyperlink" Target="https://www.regulations.gov/docket/NHTSA-2022-0021/document" TargetMode="External" /><Relationship Id="rId23" Type="http://schemas.openxmlformats.org/officeDocument/2006/relationships/hyperlink" Target="https://www.regulations.gov/docket/NHTSA-2024-0084/document" TargetMode="External" /><Relationship Id="rId24" Type="http://schemas.openxmlformats.org/officeDocument/2006/relationships/header" Target="header1.xml" /><Relationship Id="rId25" Type="http://schemas.openxmlformats.org/officeDocument/2006/relationships/header" Target="header2.xml" /><Relationship Id="rId26" Type="http://schemas.openxmlformats.org/officeDocument/2006/relationships/footer" Target="footer1.xml" /><Relationship Id="rId27" Type="http://schemas.openxmlformats.org/officeDocument/2006/relationships/footer" Target="footer2.xml" /><Relationship Id="rId28" Type="http://schemas.openxmlformats.org/officeDocument/2006/relationships/header" Target="header3.xml" /><Relationship Id="rId29" Type="http://schemas.openxmlformats.org/officeDocument/2006/relationships/theme" Target="theme/theme1.xml" /><Relationship Id="rId3" Type="http://schemas.openxmlformats.org/officeDocument/2006/relationships/webSettings" Target="webSettings.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8553_00_e.pdf" TargetMode="External" /><Relationship Id="rId8" Type="http://schemas.openxmlformats.org/officeDocument/2006/relationships/hyperlink" Target="https://www.govinfo.gov/content/pkg/FR-2024-12-18/pdf/2024-29862.pdf" TargetMode="External" /><Relationship Id="rId9" Type="http://schemas.openxmlformats.org/officeDocument/2006/relationships/hyperlink" Target="https://eping.wto.org/en/Search?viewData=G/TBT/N/USA/1881/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A86611B-F995-46F8-90C8-452C178EB6F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2025-12-08T09:34:00Z</dcterms:created>
  <dcterms:modified xsi:type="dcterms:W3CDTF">2025-12-08T09:34:00Z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