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5EF9A61" w14:textId="77777777">
      <w:pPr>
        <w:pStyle w:val="Title"/>
      </w:pPr>
      <w:r w:rsidRPr="002F663C">
        <w:t>NOTIFICATION</w:t>
      </w:r>
    </w:p>
    <w:p w:rsidR="002F663C" w:rsidRPr="002F663C" w:rsidP="00DD3DD7" w14:paraId="54023887" w14:textId="77777777">
      <w:pPr>
        <w:pStyle w:val="Title3"/>
      </w:pPr>
      <w:r w:rsidRPr="002F663C">
        <w:t>Addendum</w:t>
      </w:r>
    </w:p>
    <w:p w:rsidR="002F663C" w:rsidP="001E2E4A" w14:paraId="743F8335"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4 December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4399853C" w14:textId="77777777">
      <w:pPr>
        <w:rPr>
          <w:rFonts w:eastAsia="Calibri" w:cs="Times New Roman"/>
        </w:rPr>
      </w:pPr>
    </w:p>
    <w:p w:rsidR="002F663C" w:rsidRPr="002F663C" w:rsidP="002F663C" w14:paraId="739927BC" w14:textId="77777777">
      <w:pPr>
        <w:jc w:val="center"/>
        <w:rPr>
          <w:rFonts w:eastAsia="Calibri" w:cs="Times New Roman"/>
          <w:b/>
        </w:rPr>
      </w:pPr>
      <w:r w:rsidRPr="002F663C">
        <w:rPr>
          <w:rFonts w:eastAsia="Calibri" w:cs="Times New Roman"/>
          <w:b/>
        </w:rPr>
        <w:t>_______________</w:t>
      </w:r>
    </w:p>
    <w:p w:rsidR="002F663C" w:rsidP="002F663C" w14:paraId="55964870" w14:textId="77777777">
      <w:pPr>
        <w:rPr>
          <w:rFonts w:eastAsia="Calibri" w:cs="Times New Roman"/>
        </w:rPr>
      </w:pPr>
    </w:p>
    <w:p w:rsidR="00C14444" w:rsidRPr="002F663C" w:rsidP="002F663C" w14:paraId="0165D552" w14:textId="77777777">
      <w:pPr>
        <w:rPr>
          <w:rFonts w:eastAsia="Calibri" w:cs="Times New Roman"/>
        </w:rPr>
      </w:pPr>
    </w:p>
    <w:p w:rsidR="002F663C" w:rsidRPr="002F663C" w:rsidP="002F663C" w14:paraId="3AB55C18"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National Emission Standards for Hazardous Air Pollutants: Integrated Iron and Steel Manufacturing Facilities Technology Review</w:t>
      </w:r>
    </w:p>
    <w:p w:rsidR="002F663C" w:rsidRPr="002F663C" w:rsidP="002F663C" w14:paraId="5A9ACC20"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17BE943"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F95D0E5"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23B7003" w14:textId="77777777" w:rsidTr="00E9471B">
        <w:tblPrEx>
          <w:tblW w:w="9049" w:type="dxa"/>
          <w:tblLayout w:type="fixed"/>
          <w:tblLook w:val="04A0"/>
        </w:tblPrEx>
        <w:tc>
          <w:tcPr>
            <w:tcW w:w="851" w:type="dxa"/>
          </w:tcPr>
          <w:p w:rsidR="002F663C" w:rsidRPr="00711F9C" w:rsidP="00C14444" w14:paraId="79B083C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3BC84B3"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FA84B8D" w14:textId="77777777" w:rsidTr="00E9471B">
        <w:tblPrEx>
          <w:tblW w:w="9049" w:type="dxa"/>
          <w:tblLayout w:type="fixed"/>
          <w:tblLook w:val="04A0"/>
        </w:tblPrEx>
        <w:tc>
          <w:tcPr>
            <w:tcW w:w="851" w:type="dxa"/>
          </w:tcPr>
          <w:p w:rsidR="002F663C" w:rsidRPr="00711F9C" w:rsidP="00C14444" w14:paraId="6D450AA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CB6109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5964B829" w14:textId="77777777" w:rsidTr="00E9471B">
        <w:tblPrEx>
          <w:tblW w:w="9049" w:type="dxa"/>
          <w:tblLayout w:type="fixed"/>
          <w:tblLook w:val="04A0"/>
        </w:tblPrEx>
        <w:tc>
          <w:tcPr>
            <w:tcW w:w="851" w:type="dxa"/>
          </w:tcPr>
          <w:p w:rsidR="002F663C" w:rsidRPr="00711F9C" w:rsidP="00C14444" w14:paraId="36672502"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E038DD4"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3 December 2025</w:t>
            </w:r>
          </w:p>
        </w:tc>
      </w:tr>
      <w:tr w14:paraId="1831051C" w14:textId="77777777" w:rsidTr="00E9471B">
        <w:tblPrEx>
          <w:tblW w:w="9049" w:type="dxa"/>
          <w:tblLayout w:type="fixed"/>
          <w:tblLook w:val="04A0"/>
        </w:tblPrEx>
        <w:tc>
          <w:tcPr>
            <w:tcW w:w="851" w:type="dxa"/>
          </w:tcPr>
          <w:p w:rsidR="002F663C" w:rsidRPr="00711F9C" w:rsidP="00C14444" w14:paraId="07F9D4F0"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166ABF13"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3 December 2025</w:t>
            </w:r>
          </w:p>
        </w:tc>
      </w:tr>
      <w:tr w14:paraId="476BBCE6" w14:textId="77777777" w:rsidTr="00E9471B">
        <w:tblPrEx>
          <w:tblW w:w="9049" w:type="dxa"/>
          <w:tblLayout w:type="fixed"/>
          <w:tblLook w:val="04A0"/>
        </w:tblPrEx>
        <w:tc>
          <w:tcPr>
            <w:tcW w:w="851" w:type="dxa"/>
          </w:tcPr>
          <w:p w:rsidR="002F663C" w:rsidRPr="00711F9C" w:rsidP="00C14444" w14:paraId="2B9DC868"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5F1E1153"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1F8B8B4D" w14:textId="77777777">
            <w:pPr>
              <w:spacing w:before="120" w:after="120"/>
              <w:rPr>
                <w:rFonts w:eastAsia="Calibri" w:cs="Times New Roman"/>
              </w:rPr>
            </w:pPr>
            <w:hyperlink r:id="rId6" w:tgtFrame="_blank" w:history="1">
              <w:r w:rsidRPr="002F663C">
                <w:rPr>
                  <w:rFonts w:eastAsia="Calibri" w:cs="Times New Roman"/>
                  <w:color w:val="0000FF"/>
                  <w:u w:val="single"/>
                </w:rPr>
                <w:t>https://members.wto.org/crnattachments/2025/TBT/USA/final_measure/25_08523_00_e.pdf</w:t>
              </w:r>
            </w:hyperlink>
          </w:p>
        </w:tc>
      </w:tr>
      <w:tr w14:paraId="7FC079CC" w14:textId="77777777" w:rsidTr="00E9471B">
        <w:tblPrEx>
          <w:tblW w:w="9049" w:type="dxa"/>
          <w:tblLayout w:type="fixed"/>
          <w:tblLook w:val="04A0"/>
        </w:tblPrEx>
        <w:tc>
          <w:tcPr>
            <w:tcW w:w="851" w:type="dxa"/>
          </w:tcPr>
          <w:p w:rsidR="002F663C" w:rsidRPr="00711F9C" w:rsidP="00C14444" w14:paraId="0B3A98A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1FFE58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114A310"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2F5B389" w14:textId="77777777" w:rsidTr="00E9471B">
        <w:tblPrEx>
          <w:tblW w:w="9049" w:type="dxa"/>
          <w:tblLayout w:type="fixed"/>
          <w:tblLook w:val="04A0"/>
        </w:tblPrEx>
        <w:tc>
          <w:tcPr>
            <w:tcW w:w="851" w:type="dxa"/>
          </w:tcPr>
          <w:p w:rsidR="002F663C" w:rsidRPr="00711F9C" w:rsidP="00C14444" w14:paraId="160D70E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CB16068"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5BCC2D60"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C69D0E1" w14:textId="77777777" w:rsidTr="00E9471B">
        <w:tblPrEx>
          <w:tblW w:w="9049" w:type="dxa"/>
          <w:tblLayout w:type="fixed"/>
          <w:tblLook w:val="04A0"/>
        </w:tblPrEx>
        <w:tc>
          <w:tcPr>
            <w:tcW w:w="851" w:type="dxa"/>
          </w:tcPr>
          <w:p w:rsidR="002F663C" w:rsidRPr="00711F9C" w:rsidP="00C14444" w14:paraId="66F56BA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7030D50A"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255E860" w14:textId="77777777" w:rsidTr="00E9471B">
        <w:tblPrEx>
          <w:tblW w:w="9049" w:type="dxa"/>
          <w:tblLayout w:type="fixed"/>
          <w:tblLook w:val="04A0"/>
        </w:tblPrEx>
        <w:tc>
          <w:tcPr>
            <w:tcW w:w="851" w:type="dxa"/>
            <w:tcBorders>
              <w:bottom w:val="double" w:sz="4" w:space="0" w:color="auto"/>
            </w:tcBorders>
          </w:tcPr>
          <w:p w:rsidR="002F663C" w:rsidRPr="00711F9C" w:rsidP="00C14444" w14:paraId="227EFF1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7D0DB7ED"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04C0664C" w14:textId="77777777">
      <w:pPr>
        <w:jc w:val="left"/>
        <w:rPr>
          <w:rFonts w:eastAsia="Calibri" w:cs="Times New Roman"/>
          <w:highlight w:val="yellow"/>
        </w:rPr>
      </w:pPr>
    </w:p>
    <w:p w:rsidR="003971FF" w:rsidRPr="007F6EA2" w:rsidP="00B16ACF" w14:paraId="642126A8"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U.S. Environmental Protection Agency (EPA or Agency) is taking final action to respond to comments on an </w:t>
      </w:r>
      <w:hyperlink r:id="rId7" w:history="1">
        <w:r w:rsidRPr="002F663C">
          <w:rPr>
            <w:rFonts w:eastAsia="Calibri" w:cs="Times New Roman"/>
            <w:color w:val="0000FF"/>
            <w:szCs w:val="18"/>
            <w:u w:val="single"/>
          </w:rPr>
          <w:t>interim final rule</w:t>
        </w:r>
      </w:hyperlink>
      <w:r w:rsidRPr="002F663C">
        <w:rPr>
          <w:rFonts w:eastAsia="Calibri" w:cs="Times New Roman"/>
          <w:szCs w:val="18"/>
        </w:rPr>
        <w:t xml:space="preserve"> (IFR) related to the National Emission Standards for Hazardous Air Pollutants (</w:t>
      </w:r>
      <w:hyperlink r:id="rId8" w:history="1">
        <w:r w:rsidRPr="002F663C">
          <w:rPr>
            <w:rFonts w:eastAsia="Calibri" w:cs="Times New Roman"/>
            <w:color w:val="0000FF"/>
            <w:szCs w:val="18"/>
            <w:u w:val="single"/>
          </w:rPr>
          <w:t>NESHAP</w:t>
        </w:r>
      </w:hyperlink>
      <w:r w:rsidRPr="002F663C">
        <w:rPr>
          <w:rFonts w:eastAsia="Calibri" w:cs="Times New Roman"/>
          <w:szCs w:val="18"/>
        </w:rPr>
        <w:t xml:space="preserve">) for Integrated Iron and Steel Manufacturing Facilities (''II&amp;S NESHAP''). Specifically, the EPA is responding to comments on the IFR published in the Federal Register on 3 July 2025 (notified as </w:t>
      </w:r>
      <w:hyperlink r:id="rId9" w:history="1">
        <w:r w:rsidRPr="002F663C">
          <w:rPr>
            <w:rFonts w:eastAsia="Calibri" w:cs="Times New Roman"/>
            <w:color w:val="0000FF"/>
            <w:szCs w:val="18"/>
            <w:u w:val="single"/>
          </w:rPr>
          <w:t>G/TBT/N/USA/2026/Add.4</w:t>
        </w:r>
      </w:hyperlink>
      <w:r w:rsidRPr="002F663C">
        <w:rPr>
          <w:rFonts w:eastAsia="Calibri" w:cs="Times New Roman"/>
          <w:szCs w:val="18"/>
        </w:rPr>
        <w:t>), that revised compliance deadlines for certain provisions related to planned bleeder valve openings, unplanned bleeder valve openings, blast furnace (BF) casthouses, basic oxygen process furnace (BOPF) shops, slag processing and handling, beaching, and fenceline monitoring. After carefully considering the comments, the EPA concludes that the amendments made in the IFR are warranted and is not making any further changes to the compliance deadlines revised in the IFR.</w:t>
      </w:r>
    </w:p>
    <w:p w:rsidR="00DC5B02" w:rsidRPr="002F663C" w:rsidP="00B16ACF" w14:paraId="66D4EBF2" w14:textId="77777777">
      <w:pPr>
        <w:spacing w:before="120" w:after="120"/>
        <w:rPr>
          <w:rFonts w:eastAsia="Calibri" w:cs="Times New Roman"/>
          <w:szCs w:val="18"/>
        </w:rPr>
      </w:pPr>
      <w:r w:rsidRPr="002F663C">
        <w:rPr>
          <w:rFonts w:eastAsia="Calibri" w:cs="Times New Roman"/>
          <w:szCs w:val="18"/>
        </w:rPr>
        <w:t>This final rule is effective on 3 December 2025.</w:t>
      </w:r>
    </w:p>
    <w:p w:rsidR="00DC5B02" w:rsidRPr="002F663C" w:rsidP="00B16ACF" w14:paraId="116C98DB" w14:textId="77777777">
      <w:pPr>
        <w:spacing w:before="120" w:after="120"/>
        <w:rPr>
          <w:rFonts w:eastAsia="Calibri" w:cs="Times New Roman"/>
          <w:szCs w:val="18"/>
        </w:rPr>
      </w:pPr>
      <w:r w:rsidRPr="002F663C">
        <w:rPr>
          <w:rFonts w:eastAsia="Calibri" w:cs="Times New Roman"/>
          <w:szCs w:val="18"/>
        </w:rPr>
        <w:t xml:space="preserve">90 Federal Register (FR) 55681, 3 December 2025; </w:t>
      </w:r>
      <w:hyperlink r:id="rId10" w:history="1">
        <w:r w:rsidRPr="002F663C">
          <w:rPr>
            <w:rFonts w:eastAsia="Calibri" w:cs="Times New Roman"/>
            <w:color w:val="0000FF"/>
            <w:szCs w:val="18"/>
            <w:u w:val="single"/>
          </w:rPr>
          <w:t>Title 40 Code of Federal Regulations (CFR) Part 63</w:t>
        </w:r>
      </w:hyperlink>
      <w:r w:rsidRPr="002F663C">
        <w:rPr>
          <w:rFonts w:eastAsia="Calibri" w:cs="Times New Roman"/>
          <w:szCs w:val="18"/>
        </w:rPr>
        <w:t>:</w:t>
      </w:r>
    </w:p>
    <w:p w:rsidR="00DC5B02" w:rsidRPr="002F663C" w:rsidP="00B16ACF" w14:paraId="0E30B94B"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https://www.govinfo.gov/content/pkg/FR-2025-12-03/html/2025-21787.htm</w:t>
        </w:r>
      </w:hyperlink>
    </w:p>
    <w:p w:rsidR="00DC5B02" w:rsidRPr="002F663C" w:rsidP="00B16ACF" w14:paraId="7E411A67"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https://www.govinfo.gov/content/pkg/FR-2025-12-03/pdf/2025-21787.pdf</w:t>
        </w:r>
      </w:hyperlink>
    </w:p>
    <w:p w:rsidR="00DC5B02" w:rsidRPr="002F663C" w:rsidP="00B16ACF" w14:paraId="229EEF69" w14:textId="77777777">
      <w:pPr>
        <w:spacing w:before="120" w:after="120"/>
        <w:rPr>
          <w:rFonts w:eastAsia="Calibri" w:cs="Times New Roman"/>
          <w:szCs w:val="18"/>
        </w:rPr>
      </w:pPr>
      <w:r w:rsidRPr="002F663C">
        <w:rPr>
          <w:rFonts w:eastAsia="Calibri" w:cs="Times New Roman"/>
          <w:szCs w:val="18"/>
        </w:rPr>
        <w:t xml:space="preserve">This final rule and previous actions notified under the symbol </w:t>
      </w:r>
      <w:hyperlink r:id="rId13" w:history="1">
        <w:r w:rsidRPr="002F663C">
          <w:rPr>
            <w:rFonts w:eastAsia="Calibri" w:cs="Times New Roman"/>
            <w:color w:val="0000FF"/>
            <w:szCs w:val="18"/>
            <w:u w:val="single"/>
          </w:rPr>
          <w:t>G/TBT/N/USA/2026</w:t>
        </w:r>
      </w:hyperlink>
      <w:r w:rsidRPr="002F663C">
        <w:rPr>
          <w:rFonts w:eastAsia="Calibri" w:cs="Times New Roman"/>
          <w:szCs w:val="18"/>
        </w:rPr>
        <w:t xml:space="preserve"> are identified by Docket Number EPA-HQ-OAR-2002-0083. The Docket Folder is available from Regulations.gov at </w:t>
      </w:r>
      <w:hyperlink r:id="rId14" w:history="1">
        <w:r w:rsidRPr="002F663C">
          <w:rPr>
            <w:rFonts w:eastAsia="Calibri" w:cs="Times New Roman"/>
            <w:color w:val="0000FF"/>
            <w:szCs w:val="18"/>
            <w:u w:val="single"/>
          </w:rPr>
          <w:t>https://www.regulations.gov/docket/EPA-HQ-OAR-2002-0083/document</w:t>
        </w:r>
      </w:hyperlink>
      <w:r w:rsidRPr="002F663C">
        <w:rPr>
          <w:rFonts w:eastAsia="Calibri" w:cs="Times New Roman"/>
          <w:szCs w:val="18"/>
        </w:rPr>
        <w:t xml:space="preserve"> and provides access to primary and supporting documents as well as comments received. Documents are also accessible from </w:t>
      </w:r>
      <w:hyperlink r:id="rId15"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46534AB6" w14:textId="77777777">
      <w:pPr>
        <w:jc w:val="center"/>
        <w:rPr>
          <w:b/>
        </w:rPr>
      </w:pPr>
      <w:r w:rsidRPr="003971FF">
        <w:rPr>
          <w:b/>
        </w:rPr>
        <w:t>__________</w:t>
      </w:r>
    </w:p>
    <w:p w:rsidR="004D4D19" w:rsidP="007F38C2" w14:paraId="04661178" w14:textId="77777777">
      <w:pPr>
        <w:jc w:val="center"/>
        <w:rPr>
          <w:b/>
        </w:rPr>
      </w:pPr>
    </w:p>
    <w:p w:rsidR="00A1565D" w:rsidP="003971FF" w14:paraId="5AB8EAE7" w14:textId="77777777">
      <w:pPr>
        <w:jc w:val="center"/>
        <w:rPr>
          <w:b/>
        </w:rPr>
      </w:pPr>
    </w:p>
    <w:sectPr w:rsidSect="006C5A96">
      <w:headerReference w:type="even" r:id="rId16"/>
      <w:headerReference w:type="default" r:id="rId17"/>
      <w:footerReference w:type="even" r:id="rId18"/>
      <w:footerReference w:type="default" r:id="rId19"/>
      <w:headerReference w:type="first" r:id="rId20"/>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3A3B65E"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0449ACE"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6156875B" w14:textId="77777777">
      <w:r>
        <w:separator/>
      </w:r>
    </w:p>
  </w:footnote>
  <w:footnote w:type="continuationSeparator" w:id="1">
    <w:p w:rsidR="004D3A6A" w:rsidP="00ED54E0" w14:paraId="6D71E174" w14:textId="77777777">
      <w:r>
        <w:continuationSeparator/>
      </w:r>
    </w:p>
  </w:footnote>
  <w:footnote w:id="2">
    <w:p w:rsidR="007F6EA2" w14:paraId="08862499"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644C23A"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6DBDF13" w14:textId="77777777">
    <w:pPr>
      <w:pStyle w:val="Header"/>
      <w:pBdr>
        <w:bottom w:val="single" w:sz="4" w:space="1" w:color="auto"/>
      </w:pBdr>
      <w:tabs>
        <w:tab w:val="clear" w:pos="4513"/>
        <w:tab w:val="clear" w:pos="9027"/>
      </w:tabs>
      <w:jc w:val="center"/>
    </w:pPr>
  </w:p>
  <w:p w:rsidR="00DD3DD7" w:rsidRPr="00DD3DD7" w:rsidP="00DD3DD7" w14:paraId="0C0991A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6248A0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6453694" w14:textId="77777777">
    <w:pPr>
      <w:pStyle w:val="Header"/>
      <w:pBdr>
        <w:bottom w:val="single" w:sz="4" w:space="1" w:color="auto"/>
      </w:pBdr>
      <w:tabs>
        <w:tab w:val="clear" w:pos="4513"/>
        <w:tab w:val="clear" w:pos="9027"/>
      </w:tabs>
      <w:jc w:val="center"/>
    </w:pPr>
    <w:bookmarkStart w:id="3" w:name="spsSymbolHeader"/>
    <w:r w:rsidRPr="00DD3DD7">
      <w:t>G/TBT/N/USA/2026/Add.6</w:t>
    </w:r>
    <w:bookmarkEnd w:id="3"/>
  </w:p>
  <w:p w:rsidR="00DD3DD7" w:rsidRPr="00DD3DD7" w:rsidP="00DD3DD7" w14:paraId="484BA0F5" w14:textId="77777777">
    <w:pPr>
      <w:pStyle w:val="Header"/>
      <w:pBdr>
        <w:bottom w:val="single" w:sz="4" w:space="1" w:color="auto"/>
      </w:pBdr>
      <w:tabs>
        <w:tab w:val="clear" w:pos="4513"/>
        <w:tab w:val="clear" w:pos="9027"/>
      </w:tabs>
      <w:jc w:val="center"/>
    </w:pPr>
  </w:p>
  <w:p w:rsidR="00DD3DD7" w:rsidRPr="00DD3DD7" w:rsidP="00DD3DD7" w14:paraId="186AC50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3145D5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1019DD0"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ABC0B97"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B1573A1" w14:textId="77777777">
          <w:pPr>
            <w:jc w:val="right"/>
            <w:rPr>
              <w:b/>
              <w:color w:val="FF0000"/>
              <w:szCs w:val="16"/>
            </w:rPr>
          </w:pPr>
          <w:r>
            <w:rPr>
              <w:b/>
              <w:color w:val="FF0000"/>
              <w:szCs w:val="16"/>
            </w:rPr>
            <w:t xml:space="preserve"> </w:t>
          </w:r>
        </w:p>
      </w:tc>
    </w:tr>
    <w:tr w14:paraId="772F2220"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610027D"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F3C4BA6" w14:textId="77777777">
          <w:pPr>
            <w:jc w:val="right"/>
            <w:rPr>
              <w:b/>
              <w:szCs w:val="16"/>
            </w:rPr>
          </w:pPr>
        </w:p>
      </w:tc>
    </w:tr>
    <w:tr w14:paraId="2196D20B"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63D2B85"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3BB7DEF" w14:textId="77777777">
          <w:pPr>
            <w:jc w:val="right"/>
            <w:rPr>
              <w:rFonts w:eastAsia="Calibri" w:cs="Times New Roman"/>
              <w:b/>
              <w:szCs w:val="16"/>
            </w:rPr>
          </w:pPr>
          <w:bookmarkStart w:id="4" w:name="bmkSymbols"/>
          <w:r w:rsidRPr="002F663C">
            <w:rPr>
              <w:rFonts w:eastAsia="Calibri" w:cs="Times New Roman"/>
              <w:b/>
              <w:szCs w:val="16"/>
            </w:rPr>
            <w:t>G/TBT/N/USA/2026/Add.6</w:t>
          </w:r>
          <w:bookmarkEnd w:id="4"/>
        </w:p>
        <w:p w:rsidR="00C14444" w:rsidRPr="00C14444" w:rsidP="00C14444" w14:paraId="5ADB13E3" w14:textId="77777777">
          <w:pPr>
            <w:jc w:val="center"/>
            <w:rPr>
              <w:szCs w:val="16"/>
            </w:rPr>
          </w:pPr>
        </w:p>
      </w:tc>
    </w:tr>
    <w:tr w14:paraId="403B4898"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204BD06" w14:textId="77777777"/>
      </w:tc>
      <w:tc>
        <w:tcPr>
          <w:tcW w:w="5448" w:type="dxa"/>
          <w:gridSpan w:val="2"/>
          <w:shd w:val="clear" w:color="auto" w:fill="FFFFFF"/>
          <w:tcMar>
            <w:left w:w="108" w:type="dxa"/>
            <w:right w:w="108" w:type="dxa"/>
          </w:tcMar>
          <w:vAlign w:val="center"/>
        </w:tcPr>
        <w:p w:rsidR="00ED54E0" w:rsidRPr="00182B84" w:rsidP="00425DC5" w14:paraId="7AD45E87" w14:textId="77777777">
          <w:pPr>
            <w:jc w:val="right"/>
            <w:rPr>
              <w:szCs w:val="16"/>
            </w:rPr>
          </w:pPr>
          <w:bookmarkStart w:id="5" w:name="bmkDate"/>
          <w:r w:rsidRPr="00182B84">
            <w:rPr>
              <w:szCs w:val="16"/>
            </w:rPr>
            <w:t>5 December 2025</w:t>
          </w:r>
          <w:bookmarkEnd w:id="5"/>
        </w:p>
      </w:tc>
    </w:tr>
    <w:tr w14:paraId="35B61AE7"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D5CCA42" w14:textId="77777777">
          <w:pPr>
            <w:jc w:val="left"/>
            <w:rPr>
              <w:b/>
            </w:rPr>
          </w:pPr>
          <w:bookmarkStart w:id="6" w:name="bmkSerial"/>
          <w:r>
            <w:rPr>
              <w:rFonts w:ascii="Verdana" w:eastAsia="Verdana" w:hAnsi="Verdana" w:cs="Verdana"/>
              <w:b w:val="0"/>
              <w:color w:val="FF0000"/>
              <w:sz w:val="18"/>
            </w:rPr>
            <w:t>(25-8147)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BC8140E"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D7F4A65"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632E424"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0966F2DA"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755DD2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20491627">
    <w:abstractNumId w:val="9"/>
  </w:num>
  <w:num w:numId="2" w16cid:durableId="358893994">
    <w:abstractNumId w:val="7"/>
  </w:num>
  <w:num w:numId="3" w16cid:durableId="39594401">
    <w:abstractNumId w:val="6"/>
  </w:num>
  <w:num w:numId="4" w16cid:durableId="1445618617">
    <w:abstractNumId w:val="5"/>
  </w:num>
  <w:num w:numId="5" w16cid:durableId="1289967141">
    <w:abstractNumId w:val="4"/>
  </w:num>
  <w:num w:numId="6" w16cid:durableId="647707257">
    <w:abstractNumId w:val="12"/>
  </w:num>
  <w:num w:numId="7" w16cid:durableId="880896551">
    <w:abstractNumId w:val="11"/>
  </w:num>
  <w:num w:numId="8" w16cid:durableId="1390498962">
    <w:abstractNumId w:val="10"/>
  </w:num>
  <w:num w:numId="9" w16cid:durableId="3225872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4053523">
    <w:abstractNumId w:val="13"/>
  </w:num>
  <w:num w:numId="11" w16cid:durableId="1011835624">
    <w:abstractNumId w:val="8"/>
  </w:num>
  <w:num w:numId="12" w16cid:durableId="1333216851">
    <w:abstractNumId w:val="3"/>
  </w:num>
  <w:num w:numId="13" w16cid:durableId="350880150">
    <w:abstractNumId w:val="2"/>
  </w:num>
  <w:num w:numId="14" w16cid:durableId="1042244310">
    <w:abstractNumId w:val="1"/>
  </w:num>
  <w:num w:numId="15" w16cid:durableId="566376008">
    <w:abstractNumId w:val="0"/>
  </w:num>
  <w:num w:numId="16" w16cid:durableId="416708839">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B454A"/>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41A9"/>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C5B02"/>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D8E4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0/chapter-I/subchapter-C/part-63" TargetMode="External" /><Relationship Id="rId11" Type="http://schemas.openxmlformats.org/officeDocument/2006/relationships/hyperlink" Target="https://www.govinfo.gov/content/pkg/FR-2025-12-03/html/2025-21787.htm" TargetMode="External" /><Relationship Id="rId12" Type="http://schemas.openxmlformats.org/officeDocument/2006/relationships/hyperlink" Target="https://www.govinfo.gov/content/pkg/FR-2025-12-03/pdf/2025-21787.pdf" TargetMode="External" /><Relationship Id="rId13" Type="http://schemas.openxmlformats.org/officeDocument/2006/relationships/hyperlink" Target="https://epingalert.org/en/Search/Index?domainIds=1&amp;documentSymbol=USA%2F2026" TargetMode="External" /><Relationship Id="rId14" Type="http://schemas.openxmlformats.org/officeDocument/2006/relationships/hyperlink" Target="https://www.regulations.gov/docket/EPA-HQ-OAR-2002-0083/document" TargetMode="External" /><Relationship Id="rId15" Type="http://schemas.openxmlformats.org/officeDocument/2006/relationships/hyperlink" Target="https://www.regulations.gov/"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settings" Target="settings.xml" /><Relationship Id="rId20" Type="http://schemas.openxmlformats.org/officeDocument/2006/relationships/header" Target="head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final_measure/25_08523_00_e.pdf" TargetMode="External" /><Relationship Id="rId7" Type="http://schemas.openxmlformats.org/officeDocument/2006/relationships/hyperlink" Target="https://www.govinfo.gov/content/pkg/FR-2025-07-03/pdf/2025-12407.pdf" TargetMode="External" /><Relationship Id="rId8" Type="http://schemas.openxmlformats.org/officeDocument/2006/relationships/hyperlink" Target="https://www.epa.gov/compliance/national-emission-standards-hazardous-air-pollutants-compliance-monitoring" TargetMode="External" /><Relationship Id="rId9" Type="http://schemas.openxmlformats.org/officeDocument/2006/relationships/hyperlink" Target="https://eping.wto.org/en/Search?viewData=G/TBT/N/USA/2026/Add.4"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522</Words>
  <Characters>2980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2025-12-05T09:27:00Z</dcterms:created>
  <dcterms:modified xsi:type="dcterms:W3CDTF">2025-12-05T09:27:00Z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