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49EEB9EF" w14:textId="77777777">
      <w:pPr>
        <w:pStyle w:val="Title"/>
      </w:pPr>
      <w:r w:rsidRPr="002F663C">
        <w:t>NOTIFICATION</w:t>
      </w:r>
    </w:p>
    <w:p w:rsidR="002F663C" w:rsidRPr="002F663C" w:rsidP="00DD3DD7" w14:paraId="665FE608" w14:textId="77777777">
      <w:pPr>
        <w:pStyle w:val="Title3"/>
      </w:pPr>
      <w:r w:rsidRPr="002F663C">
        <w:t>Addendum</w:t>
      </w:r>
    </w:p>
    <w:p w:rsidR="002F663C" w:rsidP="001E2E4A" w14:paraId="0808A371" w14:textId="767150C5">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w:t>
      </w:r>
      <w:r>
        <w:rPr>
          <w:rFonts w:eastAsia="Calibri" w:cs="Times New Roman"/>
        </w:rPr>
        <w:t>3 December 2025</w:t>
      </w:r>
      <w:r w:rsidRPr="002F663C">
        <w:rPr>
          <w:rFonts w:eastAsia="Calibri" w:cs="Times New Roman"/>
        </w:rPr>
        <w:t xml:space="preserve">,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rPr>
        <w:t xml:space="preserve">the </w:t>
      </w:r>
      <w:r w:rsidRPr="002F663C">
        <w:rPr>
          <w:rFonts w:eastAsia="Calibri" w:cs="Times New Roman"/>
          <w:u w:val="single"/>
        </w:rPr>
        <w:t>United States of America</w:t>
      </w:r>
      <w:r w:rsidRPr="002F663C">
        <w:rPr>
          <w:rFonts w:eastAsia="Calibri" w:cs="Times New Roman"/>
        </w:rPr>
        <w:t>.</w:t>
      </w:r>
    </w:p>
    <w:p w:rsidR="001E2E4A" w:rsidRPr="002F663C" w:rsidP="001E2E4A" w14:paraId="4E72D40E" w14:textId="77777777">
      <w:pPr>
        <w:rPr>
          <w:rFonts w:eastAsia="Calibri" w:cs="Times New Roman"/>
        </w:rPr>
      </w:pPr>
    </w:p>
    <w:p w:rsidR="002F663C" w:rsidRPr="002F663C" w:rsidP="002F663C" w14:paraId="263E0B28" w14:textId="77777777">
      <w:pPr>
        <w:jc w:val="center"/>
        <w:rPr>
          <w:rFonts w:eastAsia="Calibri" w:cs="Times New Roman"/>
          <w:b/>
        </w:rPr>
      </w:pPr>
      <w:r w:rsidRPr="002F663C">
        <w:rPr>
          <w:rFonts w:eastAsia="Calibri" w:cs="Times New Roman"/>
          <w:b/>
        </w:rPr>
        <w:t>_______________</w:t>
      </w:r>
    </w:p>
    <w:p w:rsidR="002F663C" w:rsidP="002F663C" w14:paraId="353ED0DA" w14:textId="77777777">
      <w:pPr>
        <w:rPr>
          <w:rFonts w:eastAsia="Calibri" w:cs="Times New Roman"/>
        </w:rPr>
      </w:pPr>
    </w:p>
    <w:p w:rsidR="00C14444" w:rsidRPr="002F663C" w:rsidP="002F663C" w14:paraId="45DF146F" w14:textId="77777777">
      <w:pPr>
        <w:rPr>
          <w:rFonts w:eastAsia="Calibri" w:cs="Times New Roman"/>
        </w:rPr>
      </w:pPr>
    </w:p>
    <w:p w:rsidR="002F663C" w:rsidRPr="002F663C" w:rsidP="002F663C" w14:paraId="1A1FCCFB"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w:t>
      </w:r>
      <w:r w:rsidRPr="00022513">
        <w:rPr>
          <w:rFonts w:eastAsia="Calibri" w:cs="Times New Roman"/>
          <w:bCs/>
          <w:szCs w:val="18"/>
        </w:rPr>
        <w:t>Testing Methods for Detecting and Identifying Asbestos in Talc-Containing Cosmetic Products; Withdrawal</w:t>
      </w:r>
    </w:p>
    <w:p w:rsidR="002F663C" w:rsidRPr="002F663C" w:rsidP="002F663C" w14:paraId="510766D0"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35845F18"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24002B28"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09BD46C3" w14:textId="77777777" w:rsidTr="00E9471B">
        <w:tblPrEx>
          <w:tblW w:w="9049" w:type="dxa"/>
          <w:tblLayout w:type="fixed"/>
          <w:tblLook w:val="04A0"/>
        </w:tblPrEx>
        <w:tc>
          <w:tcPr>
            <w:tcW w:w="851" w:type="dxa"/>
          </w:tcPr>
          <w:p w:rsidR="002F663C" w:rsidRPr="00711F9C" w:rsidP="00C14444" w14:paraId="3240F316"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00BA64E5"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7A90EA96" w14:textId="77777777" w:rsidTr="00E9471B">
        <w:tblPrEx>
          <w:tblW w:w="9049" w:type="dxa"/>
          <w:tblLayout w:type="fixed"/>
          <w:tblLook w:val="04A0"/>
        </w:tblPrEx>
        <w:tc>
          <w:tcPr>
            <w:tcW w:w="851" w:type="dxa"/>
          </w:tcPr>
          <w:p w:rsidR="002F663C" w:rsidRPr="00711F9C" w:rsidP="00C14444" w14:paraId="3D5068B4"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50CD99C5"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1BA116F1" w14:textId="77777777" w:rsidTr="00E9471B">
        <w:tblPrEx>
          <w:tblW w:w="9049" w:type="dxa"/>
          <w:tblLayout w:type="fixed"/>
          <w:tblLook w:val="04A0"/>
        </w:tblPrEx>
        <w:tc>
          <w:tcPr>
            <w:tcW w:w="851" w:type="dxa"/>
          </w:tcPr>
          <w:p w:rsidR="002F663C" w:rsidRPr="00711F9C" w:rsidP="00C14444" w14:paraId="24847C66"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09A50AEF"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4F99E989" w14:textId="77777777" w:rsidTr="00E9471B">
        <w:tblPrEx>
          <w:tblW w:w="9049" w:type="dxa"/>
          <w:tblLayout w:type="fixed"/>
          <w:tblLook w:val="04A0"/>
        </w:tblPrEx>
        <w:tc>
          <w:tcPr>
            <w:tcW w:w="851" w:type="dxa"/>
          </w:tcPr>
          <w:p w:rsidR="002F663C" w:rsidRPr="00711F9C" w:rsidP="00C14444" w14:paraId="0DF9E429"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46B2ACBF"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0011761B" w14:textId="77777777" w:rsidTr="00E9471B">
        <w:tblPrEx>
          <w:tblW w:w="9049" w:type="dxa"/>
          <w:tblLayout w:type="fixed"/>
          <w:tblLook w:val="04A0"/>
        </w:tblPrEx>
        <w:tc>
          <w:tcPr>
            <w:tcW w:w="851" w:type="dxa"/>
          </w:tcPr>
          <w:p w:rsidR="002F663C" w:rsidRPr="00711F9C" w:rsidP="00C14444" w14:paraId="5EA117EA"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651F6278"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0FBBF9A0" w14:textId="77777777" w:rsidTr="00E9471B">
        <w:tblPrEx>
          <w:tblW w:w="9049" w:type="dxa"/>
          <w:tblLayout w:type="fixed"/>
          <w:tblLook w:val="04A0"/>
        </w:tblPrEx>
        <w:tc>
          <w:tcPr>
            <w:tcW w:w="851" w:type="dxa"/>
          </w:tcPr>
          <w:p w:rsidR="002F663C" w:rsidRPr="00711F9C" w:rsidP="00C14444" w14:paraId="38EC9B7D"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EB7B40" w14:paraId="6815CE4B" w14:textId="77777777">
            <w:pPr>
              <w:spacing w:before="60" w:after="60"/>
              <w:rPr>
                <w:rFonts w:eastAsia="Calibri" w:cs="Times New Roman"/>
              </w:rPr>
            </w:pPr>
            <w:r>
              <w:rPr>
                <w:rFonts w:eastAsia="Calibri" w:cs="Times New Roman"/>
              </w:rPr>
              <w:t>N</w:t>
            </w:r>
            <w:r w:rsidRPr="002F663C">
              <w:rPr>
                <w:rFonts w:eastAsia="Calibri" w:cs="Times New Roman"/>
              </w:rPr>
              <w:t>otified measure withdrawn or revoked - date: 28 November 2025</w:t>
            </w:r>
          </w:p>
          <w:p w:rsidR="002F663C" w:rsidRPr="002F663C" w:rsidP="00EB7B40" w14:paraId="27981074"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4E9DF636" w14:textId="77777777" w:rsidTr="00E9471B">
        <w:tblPrEx>
          <w:tblW w:w="9049" w:type="dxa"/>
          <w:tblLayout w:type="fixed"/>
          <w:tblLook w:val="04A0"/>
        </w:tblPrEx>
        <w:tc>
          <w:tcPr>
            <w:tcW w:w="851" w:type="dxa"/>
          </w:tcPr>
          <w:p w:rsidR="002F663C" w:rsidRPr="00711F9C" w:rsidP="00C14444" w14:paraId="39642D8A"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5333ECBC"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0A0DCDD4"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068F1FD7" w14:textId="77777777" w:rsidTr="00E9471B">
        <w:tblPrEx>
          <w:tblW w:w="9049" w:type="dxa"/>
          <w:tblLayout w:type="fixed"/>
          <w:tblLook w:val="04A0"/>
        </w:tblPrEx>
        <w:tc>
          <w:tcPr>
            <w:tcW w:w="851" w:type="dxa"/>
          </w:tcPr>
          <w:p w:rsidR="002F663C" w:rsidRPr="00711F9C" w:rsidP="00C14444" w14:paraId="1CFB584D"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71773DEA"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444DB12C" w14:textId="77777777" w:rsidTr="00E9471B">
        <w:tblPrEx>
          <w:tblW w:w="9049" w:type="dxa"/>
          <w:tblLayout w:type="fixed"/>
          <w:tblLook w:val="04A0"/>
        </w:tblPrEx>
        <w:tc>
          <w:tcPr>
            <w:tcW w:w="851" w:type="dxa"/>
            <w:tcBorders>
              <w:bottom w:val="double" w:sz="4" w:space="0" w:color="auto"/>
            </w:tcBorders>
          </w:tcPr>
          <w:p w:rsidR="002F663C" w:rsidRPr="00711F9C" w:rsidP="00C14444" w14:paraId="3BC528E3"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15BE65A2"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7392BD19" w14:textId="77777777">
      <w:pPr>
        <w:jc w:val="left"/>
        <w:rPr>
          <w:rFonts w:eastAsia="Calibri" w:cs="Times New Roman"/>
          <w:highlight w:val="yellow"/>
        </w:rPr>
      </w:pPr>
    </w:p>
    <w:p w:rsidR="003971FF" w:rsidRPr="007F6EA2" w:rsidP="00B16ACF" w14:paraId="5F6D594C"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 xml:space="preserve">The Food and Drug Administration (FDA, Agency, or we) is announcing the withdrawal of the </w:t>
      </w:r>
      <w:hyperlink r:id="rId6" w:history="1">
        <w:r w:rsidRPr="002F663C">
          <w:rPr>
            <w:rFonts w:eastAsia="Calibri" w:cs="Times New Roman"/>
            <w:color w:val="0000FF"/>
            <w:szCs w:val="18"/>
            <w:u w:val="single"/>
          </w:rPr>
          <w:t>proposed rule</w:t>
        </w:r>
      </w:hyperlink>
      <w:r w:rsidRPr="002F663C">
        <w:rPr>
          <w:rFonts w:eastAsia="Calibri" w:cs="Times New Roman"/>
          <w:szCs w:val="18"/>
        </w:rPr>
        <w:t xml:space="preserve"> entitled ''Testing Methods for Detecting and Identifying Asbestos in Talc-Containing Cosmetic Products,'' (notified as </w:t>
      </w:r>
      <w:hyperlink r:id="rId7" w:history="1">
        <w:r w:rsidRPr="002F663C">
          <w:rPr>
            <w:rFonts w:eastAsia="Calibri" w:cs="Times New Roman"/>
            <w:color w:val="0000FF"/>
            <w:szCs w:val="18"/>
            <w:u w:val="single"/>
          </w:rPr>
          <w:t>G/TBT/N/USA/2174</w:t>
        </w:r>
      </w:hyperlink>
      <w:r w:rsidRPr="002F663C">
        <w:rPr>
          <w:rFonts w:eastAsia="Calibri" w:cs="Times New Roman"/>
          <w:szCs w:val="18"/>
        </w:rPr>
        <w:t xml:space="preserve">) which published in the Federal Register of 27 December 2024. FDA is taking this action in response to comments received during the comment period for the proposed rule that warrant further consideration and assessment prior to issuing final regulations to establish and require standardized testing methods for detecting and identifying asbestos in talc-containing cosmetic products pursuant to the </w:t>
      </w:r>
      <w:hyperlink r:id="rId8" w:history="1">
        <w:r w:rsidRPr="002F663C">
          <w:rPr>
            <w:rFonts w:eastAsia="Calibri" w:cs="Times New Roman"/>
            <w:color w:val="0000FF"/>
            <w:szCs w:val="18"/>
            <w:u w:val="single"/>
          </w:rPr>
          <w:t>Modernization of Cosmetics Regulation Act of 2022</w:t>
        </w:r>
      </w:hyperlink>
      <w:r w:rsidRPr="002F663C">
        <w:rPr>
          <w:rFonts w:eastAsia="Calibri" w:cs="Times New Roman"/>
          <w:szCs w:val="18"/>
        </w:rPr>
        <w:t>.</w:t>
      </w:r>
    </w:p>
    <w:p w:rsidR="00520400" w:rsidRPr="002F663C" w:rsidP="00B16ACF" w14:paraId="0107A423" w14:textId="77777777">
      <w:pPr>
        <w:spacing w:before="120" w:after="120"/>
        <w:rPr>
          <w:rFonts w:eastAsia="Calibri" w:cs="Times New Roman"/>
          <w:szCs w:val="18"/>
        </w:rPr>
      </w:pPr>
      <w:r w:rsidRPr="002F663C">
        <w:rPr>
          <w:rFonts w:eastAsia="Calibri" w:cs="Times New Roman"/>
          <w:szCs w:val="18"/>
        </w:rPr>
        <w:t>The proposed rule published 27 December 2024 (</w:t>
      </w:r>
      <w:hyperlink r:id="rId6" w:history="1">
        <w:r w:rsidRPr="002F663C">
          <w:rPr>
            <w:rFonts w:eastAsia="Calibri" w:cs="Times New Roman"/>
            <w:color w:val="0000FF"/>
            <w:szCs w:val="18"/>
            <w:u w:val="single"/>
          </w:rPr>
          <w:t>89 FR 105490</w:t>
        </w:r>
      </w:hyperlink>
      <w:r w:rsidRPr="002F663C">
        <w:rPr>
          <w:rFonts w:eastAsia="Calibri" w:cs="Times New Roman"/>
          <w:szCs w:val="18"/>
        </w:rPr>
        <w:t>) is withdrawn as of 28 November 2025.</w:t>
      </w:r>
    </w:p>
    <w:p w:rsidR="00520400" w:rsidRPr="002F663C" w:rsidP="00B16ACF" w14:paraId="1D3078EE" w14:textId="77777777">
      <w:pPr>
        <w:spacing w:before="120" w:after="120"/>
        <w:rPr>
          <w:rFonts w:eastAsia="Calibri" w:cs="Times New Roman"/>
          <w:szCs w:val="18"/>
        </w:rPr>
      </w:pPr>
      <w:r w:rsidRPr="002F663C">
        <w:rPr>
          <w:rFonts w:eastAsia="Calibri" w:cs="Times New Roman"/>
          <w:szCs w:val="18"/>
        </w:rPr>
        <w:t xml:space="preserve">90 Federal Register (FR) 54603, 28 November 2025; </w:t>
      </w:r>
      <w:hyperlink r:id="rId9" w:history="1">
        <w:r w:rsidRPr="002F663C">
          <w:rPr>
            <w:rFonts w:eastAsia="Calibri" w:cs="Times New Roman"/>
            <w:color w:val="0000FF"/>
            <w:szCs w:val="18"/>
            <w:u w:val="single"/>
          </w:rPr>
          <w:t>Title 21</w:t>
        </w:r>
      </w:hyperlink>
      <w:r w:rsidRPr="002F663C">
        <w:rPr>
          <w:rFonts w:eastAsia="Calibri" w:cs="Times New Roman"/>
          <w:szCs w:val="18"/>
        </w:rPr>
        <w:t xml:space="preserve"> Code of Federal Regulations (CFR) Part 730:</w:t>
      </w:r>
    </w:p>
    <w:p w:rsidR="00520400" w:rsidRPr="002F663C" w:rsidP="00B16ACF" w14:paraId="679C0E5D" w14:textId="77777777">
      <w:pPr>
        <w:spacing w:before="120" w:after="120"/>
        <w:rPr>
          <w:rFonts w:eastAsia="Calibri" w:cs="Times New Roman"/>
          <w:szCs w:val="18"/>
        </w:rPr>
      </w:pPr>
      <w:hyperlink r:id="rId10" w:history="1">
        <w:r w:rsidRPr="002F663C">
          <w:rPr>
            <w:rFonts w:eastAsia="Calibri" w:cs="Times New Roman"/>
            <w:color w:val="0000FF"/>
            <w:szCs w:val="18"/>
            <w:u w:val="single"/>
          </w:rPr>
          <w:t>https://www.govinfo.gov/content/pkg/FR-2025-11-28/html/2025-21407.htm</w:t>
        </w:r>
      </w:hyperlink>
    </w:p>
    <w:p w:rsidR="00520400" w:rsidRPr="002F663C" w:rsidP="00B16ACF" w14:paraId="68DFEB33" w14:textId="77777777">
      <w:pPr>
        <w:spacing w:before="120" w:after="120"/>
        <w:rPr>
          <w:rFonts w:eastAsia="Calibri" w:cs="Times New Roman"/>
          <w:szCs w:val="18"/>
        </w:rPr>
      </w:pPr>
      <w:hyperlink r:id="rId11" w:history="1">
        <w:r w:rsidRPr="002F663C">
          <w:rPr>
            <w:rFonts w:eastAsia="Calibri" w:cs="Times New Roman"/>
            <w:color w:val="0000FF"/>
            <w:szCs w:val="18"/>
            <w:u w:val="single"/>
          </w:rPr>
          <w:t>https://www.govinfo.gov/content/pkg/FR-2025-11-28/pdf/2025-21407.pdf</w:t>
        </w:r>
      </w:hyperlink>
    </w:p>
    <w:p w:rsidR="00520400" w:rsidRPr="002F663C" w:rsidP="00B16ACF" w14:paraId="714EEAC7" w14:textId="77777777">
      <w:pPr>
        <w:spacing w:before="120" w:after="120"/>
        <w:rPr>
          <w:rFonts w:eastAsia="Calibri" w:cs="Times New Roman"/>
          <w:szCs w:val="18"/>
        </w:rPr>
      </w:pPr>
      <w:r w:rsidRPr="002F663C">
        <w:rPr>
          <w:rFonts w:eastAsia="Calibri" w:cs="Times New Roman"/>
          <w:szCs w:val="18"/>
        </w:rPr>
        <w:t xml:space="preserve">This withdrawal and the proposed rule notified as </w:t>
      </w:r>
      <w:hyperlink r:id="rId12" w:history="1">
        <w:r w:rsidRPr="002F663C">
          <w:rPr>
            <w:rFonts w:eastAsia="Calibri" w:cs="Times New Roman"/>
            <w:color w:val="0000FF"/>
            <w:szCs w:val="18"/>
            <w:u w:val="single"/>
          </w:rPr>
          <w:t>G/TBT/N/USA/2174</w:t>
        </w:r>
      </w:hyperlink>
      <w:r w:rsidRPr="002F663C">
        <w:rPr>
          <w:rFonts w:eastAsia="Calibri" w:cs="Times New Roman"/>
          <w:szCs w:val="18"/>
        </w:rPr>
        <w:t xml:space="preserve"> are identified by Docket Number FDA-2023-N-4225. The Docket Folder is available on Regulations.gov at </w:t>
      </w:r>
      <w:hyperlink r:id="rId13" w:history="1">
        <w:r w:rsidRPr="002F663C">
          <w:rPr>
            <w:rFonts w:eastAsia="Calibri" w:cs="Times New Roman"/>
            <w:color w:val="0000FF"/>
            <w:szCs w:val="18"/>
            <w:u w:val="single"/>
          </w:rPr>
          <w:t>https://www.regulations.gov/docket/FDA-2023-N-4225/document</w:t>
        </w:r>
      </w:hyperlink>
      <w:r w:rsidRPr="002F663C">
        <w:rPr>
          <w:rFonts w:eastAsia="Calibri" w:cs="Times New Roman"/>
          <w:szCs w:val="18"/>
        </w:rPr>
        <w:t xml:space="preserve"> and provides access to primary and supporting documents as well as comments received. Documents are also accessible from </w:t>
      </w:r>
      <w:hyperlink r:id="rId14"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w:t>
      </w:r>
    </w:p>
    <w:p w:rsidR="006C5A96" w:rsidP="006C5A96" w14:paraId="7B91B9AB" w14:textId="77777777">
      <w:pPr>
        <w:jc w:val="center"/>
        <w:rPr>
          <w:b/>
        </w:rPr>
      </w:pPr>
      <w:r w:rsidRPr="003971FF">
        <w:rPr>
          <w:b/>
        </w:rPr>
        <w:t>__________</w:t>
      </w:r>
    </w:p>
    <w:p w:rsidR="004D4D19" w:rsidP="007F38C2" w14:paraId="208CCC2F" w14:textId="77777777">
      <w:pPr>
        <w:jc w:val="center"/>
        <w:rPr>
          <w:b/>
        </w:rPr>
      </w:pPr>
    </w:p>
    <w:p w:rsidR="00A1565D" w:rsidP="003971FF" w14:paraId="5481F2AD" w14:textId="77777777">
      <w:pPr>
        <w:jc w:val="center"/>
        <w:rPr>
          <w:b/>
        </w:rPr>
      </w:pPr>
    </w:p>
    <w:sectPr w:rsidSect="006C5A96">
      <w:headerReference w:type="even" r:id="rId15"/>
      <w:headerReference w:type="default" r:id="rId16"/>
      <w:footerReference w:type="even" r:id="rId17"/>
      <w:footerReference w:type="default" r:id="rId18"/>
      <w:headerReference w:type="first" r:id="rId19"/>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5B331B73"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6AF9A822"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12E76F61" w14:textId="77777777">
      <w:r>
        <w:separator/>
      </w:r>
    </w:p>
  </w:footnote>
  <w:footnote w:type="continuationSeparator" w:id="1">
    <w:p w:rsidR="004D3A6A" w:rsidP="00ED54E0" w14:paraId="03B55BA2" w14:textId="77777777">
      <w:r>
        <w:continuationSeparator/>
      </w:r>
    </w:p>
  </w:footnote>
  <w:footnote w:id="2">
    <w:p w:rsidR="007F6EA2" w14:paraId="5EC6643F"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25A7B9A6"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2E89D8E4" w14:textId="77777777">
    <w:pPr>
      <w:pStyle w:val="Header"/>
      <w:pBdr>
        <w:bottom w:val="single" w:sz="4" w:space="1" w:color="auto"/>
      </w:pBdr>
      <w:tabs>
        <w:tab w:val="clear" w:pos="4513"/>
        <w:tab w:val="clear" w:pos="9027"/>
      </w:tabs>
      <w:jc w:val="center"/>
    </w:pPr>
  </w:p>
  <w:p w:rsidR="00DD3DD7" w:rsidRPr="00DD3DD7" w:rsidP="00DD3DD7" w14:paraId="79527685"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6B99C865"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9A7F14" w:rsidP="00DD3DD7" w14:paraId="5CAE9263" w14:textId="77777777">
    <w:pPr>
      <w:pStyle w:val="Header"/>
      <w:pBdr>
        <w:bottom w:val="single" w:sz="4" w:space="1" w:color="auto"/>
      </w:pBdr>
      <w:tabs>
        <w:tab w:val="clear" w:pos="4513"/>
        <w:tab w:val="clear" w:pos="9027"/>
      </w:tabs>
      <w:jc w:val="center"/>
      <w:rPr>
        <w:lang w:val="es-ES_tradnl"/>
      </w:rPr>
    </w:pPr>
    <w:bookmarkStart w:id="3" w:name="spsSymbolHeader"/>
    <w:r w:rsidRPr="009A7F14">
      <w:rPr>
        <w:lang w:val="es-ES_tradnl"/>
      </w:rPr>
      <w:t>G/TBT/N/USA/2174/Add.1</w:t>
    </w:r>
    <w:bookmarkEnd w:id="3"/>
  </w:p>
  <w:p w:rsidR="00DD3DD7" w:rsidRPr="009A7F14" w:rsidP="00DD3DD7" w14:paraId="3032C6EB" w14:textId="77777777">
    <w:pPr>
      <w:pStyle w:val="Header"/>
      <w:pBdr>
        <w:bottom w:val="single" w:sz="4" w:space="1" w:color="auto"/>
      </w:pBdr>
      <w:tabs>
        <w:tab w:val="clear" w:pos="4513"/>
        <w:tab w:val="clear" w:pos="9027"/>
      </w:tabs>
      <w:jc w:val="center"/>
      <w:rPr>
        <w:lang w:val="es-ES_tradnl"/>
      </w:rPr>
    </w:pPr>
  </w:p>
  <w:p w:rsidR="00DD3DD7" w:rsidRPr="00DD3DD7" w:rsidP="00DD3DD7" w14:paraId="2705EEE1"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29A9E87C"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74CD21C"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436F2614"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1A14B412" w14:textId="77777777">
          <w:pPr>
            <w:jc w:val="right"/>
            <w:rPr>
              <w:b/>
              <w:color w:val="FF0000"/>
              <w:szCs w:val="16"/>
            </w:rPr>
          </w:pPr>
          <w:r>
            <w:rPr>
              <w:b/>
              <w:color w:val="FF0000"/>
              <w:szCs w:val="16"/>
            </w:rPr>
            <w:t xml:space="preserve"> </w:t>
          </w:r>
        </w:p>
      </w:tc>
    </w:tr>
    <w:tr w14:paraId="2DFE2394"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49253F28"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34F4CA35" w14:textId="77777777">
          <w:pPr>
            <w:jc w:val="right"/>
            <w:rPr>
              <w:b/>
              <w:szCs w:val="16"/>
            </w:rPr>
          </w:pPr>
        </w:p>
      </w:tc>
    </w:tr>
    <w:tr w14:paraId="1630EF6F"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09A7B3D2" w14:textId="77777777">
          <w:pPr>
            <w:jc w:val="left"/>
            <w:rPr>
              <w:noProof/>
              <w:lang w:eastAsia="en-GB"/>
            </w:rPr>
          </w:pPr>
        </w:p>
      </w:tc>
      <w:tc>
        <w:tcPr>
          <w:tcW w:w="5448" w:type="dxa"/>
          <w:gridSpan w:val="2"/>
          <w:shd w:val="clear" w:color="auto" w:fill="FFFFFF"/>
          <w:tcMar>
            <w:left w:w="108" w:type="dxa"/>
            <w:right w:w="108" w:type="dxa"/>
          </w:tcMar>
        </w:tcPr>
        <w:p w:rsidR="00DD3DD7" w:rsidRPr="009A7F14" w:rsidP="00DD3DD7" w14:paraId="01AA249C" w14:textId="77777777">
          <w:pPr>
            <w:jc w:val="right"/>
            <w:rPr>
              <w:rFonts w:eastAsia="Calibri" w:cs="Times New Roman"/>
              <w:b/>
              <w:szCs w:val="16"/>
              <w:lang w:val="es-ES_tradnl"/>
            </w:rPr>
          </w:pPr>
          <w:bookmarkStart w:id="4" w:name="bmkSymbols"/>
          <w:r w:rsidRPr="009A7F14">
            <w:rPr>
              <w:rFonts w:eastAsia="Calibri" w:cs="Times New Roman"/>
              <w:b/>
              <w:szCs w:val="16"/>
              <w:lang w:val="es-ES_tradnl"/>
            </w:rPr>
            <w:t>G/TBT/N/USA/2174/Add.1</w:t>
          </w:r>
          <w:bookmarkEnd w:id="4"/>
        </w:p>
        <w:p w:rsidR="00C14444" w:rsidRPr="009A7F14" w:rsidP="00C14444" w14:paraId="774B1351" w14:textId="77777777">
          <w:pPr>
            <w:jc w:val="center"/>
            <w:rPr>
              <w:szCs w:val="16"/>
              <w:lang w:val="es-ES_tradnl"/>
            </w:rPr>
          </w:pPr>
        </w:p>
      </w:tc>
    </w:tr>
    <w:tr w14:paraId="0D49324E"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A7F14" w:rsidP="00425DC5" w14:paraId="6E5E2EA4" w14:textId="77777777">
          <w:pPr>
            <w:rPr>
              <w:lang w:val="es-ES_tradnl"/>
            </w:rPr>
          </w:pPr>
        </w:p>
      </w:tc>
      <w:tc>
        <w:tcPr>
          <w:tcW w:w="5448" w:type="dxa"/>
          <w:gridSpan w:val="2"/>
          <w:shd w:val="clear" w:color="auto" w:fill="FFFFFF"/>
          <w:tcMar>
            <w:left w:w="108" w:type="dxa"/>
            <w:right w:w="108" w:type="dxa"/>
          </w:tcMar>
          <w:vAlign w:val="center"/>
        </w:tcPr>
        <w:p w:rsidR="00ED54E0" w:rsidRPr="00182B84" w:rsidP="00425DC5" w14:paraId="2E30480F" w14:textId="77777777">
          <w:pPr>
            <w:jc w:val="right"/>
            <w:rPr>
              <w:szCs w:val="16"/>
            </w:rPr>
          </w:pPr>
          <w:bookmarkStart w:id="5" w:name="bmkDate"/>
          <w:r w:rsidRPr="00182B84">
            <w:rPr>
              <w:szCs w:val="16"/>
            </w:rPr>
            <w:t>3 December 2025</w:t>
          </w:r>
          <w:bookmarkEnd w:id="5"/>
        </w:p>
      </w:tc>
    </w:tr>
    <w:tr w14:paraId="07FCA97F"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4C1B9F6B" w14:textId="77777777">
          <w:pPr>
            <w:jc w:val="left"/>
            <w:rPr>
              <w:b/>
            </w:rPr>
          </w:pPr>
          <w:bookmarkStart w:id="6" w:name="bmkSerial"/>
          <w:r>
            <w:rPr>
              <w:rFonts w:ascii="Verdana" w:eastAsia="Verdana" w:hAnsi="Verdana" w:cs="Verdana"/>
              <w:b w:val="0"/>
              <w:color w:val="FF0000"/>
              <w:sz w:val="18"/>
            </w:rPr>
            <w:t>(25-8099)</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5ABFB7D7"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38426995"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02FF2051"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1087793A"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66D95CD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015041031">
    <w:abstractNumId w:val="9"/>
  </w:num>
  <w:num w:numId="2" w16cid:durableId="1479490782">
    <w:abstractNumId w:val="7"/>
  </w:num>
  <w:num w:numId="3" w16cid:durableId="774178684">
    <w:abstractNumId w:val="6"/>
  </w:num>
  <w:num w:numId="4" w16cid:durableId="611402710">
    <w:abstractNumId w:val="5"/>
  </w:num>
  <w:num w:numId="5" w16cid:durableId="109738364">
    <w:abstractNumId w:val="4"/>
  </w:num>
  <w:num w:numId="6" w16cid:durableId="1099564415">
    <w:abstractNumId w:val="12"/>
  </w:num>
  <w:num w:numId="7" w16cid:durableId="569273831">
    <w:abstractNumId w:val="11"/>
  </w:num>
  <w:num w:numId="8" w16cid:durableId="318391819">
    <w:abstractNumId w:val="10"/>
  </w:num>
  <w:num w:numId="9" w16cid:durableId="5067517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32577233">
    <w:abstractNumId w:val="13"/>
  </w:num>
  <w:num w:numId="11" w16cid:durableId="467671586">
    <w:abstractNumId w:val="8"/>
  </w:num>
  <w:num w:numId="12" w16cid:durableId="748231223">
    <w:abstractNumId w:val="3"/>
  </w:num>
  <w:num w:numId="13" w16cid:durableId="1468233658">
    <w:abstractNumId w:val="2"/>
  </w:num>
  <w:num w:numId="14" w16cid:durableId="2126993969">
    <w:abstractNumId w:val="1"/>
  </w:num>
  <w:num w:numId="15" w16cid:durableId="543517881">
    <w:abstractNumId w:val="0"/>
  </w:num>
  <w:num w:numId="16" w16cid:durableId="168102328">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20400"/>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33493"/>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A7F1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15A0"/>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AD7A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govinfo.gov/content/pkg/FR-2025-11-28/html/2025-21407.htm" TargetMode="External" /><Relationship Id="rId11" Type="http://schemas.openxmlformats.org/officeDocument/2006/relationships/hyperlink" Target="https://www.govinfo.gov/content/pkg/FR-2025-11-28/pdf/2025-21407.pdf" TargetMode="External" /><Relationship Id="rId12" Type="http://schemas.openxmlformats.org/officeDocument/2006/relationships/hyperlink" Target="https://eping.wto.org/en/Search?domainIds=1&amp;documentSymbol=USA%2F2174" TargetMode="External" /><Relationship Id="rId13" Type="http://schemas.openxmlformats.org/officeDocument/2006/relationships/hyperlink" Target="https://www.regulations.gov/docket/FDA-2023-N-4225/document" TargetMode="External" /><Relationship Id="rId14" Type="http://schemas.openxmlformats.org/officeDocument/2006/relationships/hyperlink" Target="http://www.regulations.gov/" TargetMode="External" /><Relationship Id="rId15" Type="http://schemas.openxmlformats.org/officeDocument/2006/relationships/header" Target="header1.xml" /><Relationship Id="rId16" Type="http://schemas.openxmlformats.org/officeDocument/2006/relationships/header" Target="header2.xml" /><Relationship Id="rId17" Type="http://schemas.openxmlformats.org/officeDocument/2006/relationships/footer" Target="footer1.xml" /><Relationship Id="rId18" Type="http://schemas.openxmlformats.org/officeDocument/2006/relationships/footer" Target="footer2.xml" /><Relationship Id="rId19" Type="http://schemas.openxmlformats.org/officeDocument/2006/relationships/header" Target="header3.xml" /><Relationship Id="rId2" Type="http://schemas.openxmlformats.org/officeDocument/2006/relationships/settings" Target="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www.govinfo.gov/content/pkg/FR-2024-12-27/pdf/2024-30544.pdf" TargetMode="External" /><Relationship Id="rId7" Type="http://schemas.openxmlformats.org/officeDocument/2006/relationships/hyperlink" Target="https://eping.wto.org/en/Search?viewData=G/TBT/N/USA/2174" TargetMode="External" /><Relationship Id="rId8" Type="http://schemas.openxmlformats.org/officeDocument/2006/relationships/hyperlink" Target="https://www.fda.gov/cosmetics/cosmetics-laws-regulations/modernization-cosmetics-regulation-act-2022-mocra" TargetMode="External" /><Relationship Id="rId9" Type="http://schemas.openxmlformats.org/officeDocument/2006/relationships/hyperlink" Target="https://www.ecfr.gov/current/title-21"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greenleaves\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465</Words>
  <Characters>2651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2025-12-03T15:46:00Z</dcterms:created>
  <dcterms:modified xsi:type="dcterms:W3CDTF">2025-12-03T15:46:00Z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NC</vt:lpwstr>
  </property>
</Properties>
</file>