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2B169B4D" w14:textId="77777777">
      <w:pPr>
        <w:pStyle w:val="Title"/>
      </w:pPr>
      <w:r w:rsidRPr="002F663C">
        <w:t>NOTIFICATION</w:t>
      </w:r>
    </w:p>
    <w:p w:rsidR="002F663C" w:rsidRPr="002F663C" w:rsidP="00DD3DD7" w14:paraId="1D509478" w14:textId="77777777">
      <w:pPr>
        <w:pStyle w:val="Title3"/>
      </w:pPr>
      <w:r w:rsidRPr="002F663C">
        <w:t>Addendum</w:t>
      </w:r>
    </w:p>
    <w:p w:rsidR="002F663C" w:rsidP="001E2E4A" w14:paraId="375C7B9D" w14:textId="1B0E0B1C">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w:t>
      </w:r>
      <w:r>
        <w:rPr>
          <w:rFonts w:eastAsia="Calibri" w:cs="Times New Roman"/>
        </w:rPr>
        <w:t>3 December 2025</w:t>
      </w:r>
      <w:r w:rsidRPr="002F663C">
        <w:rPr>
          <w:rFonts w:eastAsia="Calibri" w:cs="Times New Roman"/>
        </w:rPr>
        <w:t xml:space="preserve">,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71FEFC77" w14:textId="77777777">
      <w:pPr>
        <w:rPr>
          <w:rFonts w:eastAsia="Calibri" w:cs="Times New Roman"/>
        </w:rPr>
      </w:pPr>
    </w:p>
    <w:p w:rsidR="002F663C" w:rsidRPr="002F663C" w:rsidP="002F663C" w14:paraId="5E28578A" w14:textId="77777777">
      <w:pPr>
        <w:jc w:val="center"/>
        <w:rPr>
          <w:rFonts w:eastAsia="Calibri" w:cs="Times New Roman"/>
          <w:b/>
        </w:rPr>
      </w:pPr>
      <w:r w:rsidRPr="002F663C">
        <w:rPr>
          <w:rFonts w:eastAsia="Calibri" w:cs="Times New Roman"/>
          <w:b/>
        </w:rPr>
        <w:t>_______________</w:t>
      </w:r>
    </w:p>
    <w:p w:rsidR="002F663C" w:rsidP="002F663C" w14:paraId="4CB34224" w14:textId="77777777">
      <w:pPr>
        <w:rPr>
          <w:rFonts w:eastAsia="Calibri" w:cs="Times New Roman"/>
        </w:rPr>
      </w:pPr>
    </w:p>
    <w:p w:rsidR="00C14444" w:rsidRPr="002F663C" w:rsidP="002F663C" w14:paraId="13FD4655" w14:textId="77777777">
      <w:pPr>
        <w:rPr>
          <w:rFonts w:eastAsia="Calibri" w:cs="Times New Roman"/>
        </w:rPr>
      </w:pPr>
    </w:p>
    <w:p w:rsidR="002F663C" w:rsidRPr="002F663C" w:rsidP="002F663C" w14:paraId="767FE9E4"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Safer Products Restrictions and Reporting</w:t>
      </w:r>
    </w:p>
    <w:p w:rsidR="002F663C" w:rsidRPr="002F663C" w:rsidP="002F663C" w14:paraId="243CC6D1"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14CEA9B"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4AA4047C"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36BC46EB" w14:textId="77777777" w:rsidTr="00E9471B">
        <w:tblPrEx>
          <w:tblW w:w="9049" w:type="dxa"/>
          <w:tblLayout w:type="fixed"/>
          <w:tblLook w:val="04A0"/>
        </w:tblPrEx>
        <w:tc>
          <w:tcPr>
            <w:tcW w:w="851" w:type="dxa"/>
          </w:tcPr>
          <w:p w:rsidR="002F663C" w:rsidRPr="00711F9C" w:rsidP="00C14444" w14:paraId="4ED102D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4365E2D8"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1DF5F066" w14:textId="77777777" w:rsidTr="00E9471B">
        <w:tblPrEx>
          <w:tblW w:w="9049" w:type="dxa"/>
          <w:tblLayout w:type="fixed"/>
          <w:tblLook w:val="04A0"/>
        </w:tblPrEx>
        <w:tc>
          <w:tcPr>
            <w:tcW w:w="851" w:type="dxa"/>
          </w:tcPr>
          <w:p w:rsidR="002F663C" w:rsidRPr="00711F9C" w:rsidP="00C14444" w14:paraId="6FF98607"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5297A085"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20 November 2025</w:t>
            </w:r>
          </w:p>
        </w:tc>
      </w:tr>
      <w:tr w14:paraId="2D1C7AC3" w14:textId="77777777" w:rsidTr="00E9471B">
        <w:tblPrEx>
          <w:tblW w:w="9049" w:type="dxa"/>
          <w:tblLayout w:type="fixed"/>
          <w:tblLook w:val="04A0"/>
        </w:tblPrEx>
        <w:tc>
          <w:tcPr>
            <w:tcW w:w="851" w:type="dxa"/>
          </w:tcPr>
          <w:p w:rsidR="002F663C" w:rsidRPr="00711F9C" w:rsidP="00C14444" w14:paraId="7F1449F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866DC4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48761558" w14:textId="77777777" w:rsidTr="00E9471B">
        <w:tblPrEx>
          <w:tblW w:w="9049" w:type="dxa"/>
          <w:tblLayout w:type="fixed"/>
          <w:tblLook w:val="04A0"/>
        </w:tblPrEx>
        <w:tc>
          <w:tcPr>
            <w:tcW w:w="851" w:type="dxa"/>
          </w:tcPr>
          <w:p w:rsidR="002F663C" w:rsidRPr="00711F9C" w:rsidP="00C14444" w14:paraId="389E59D1"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2DE86BA3"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21 December 2025; Starting 1 January 2026, manufacturers must identify and track consumer products with new reporting requirements in this rule. Reports are due by 31 January 2027, and every year thereafter by 31 January. The new restrictions in this rule take effect on 1 January 2027.</w:t>
            </w:r>
          </w:p>
        </w:tc>
      </w:tr>
      <w:tr w14:paraId="24C32696" w14:textId="77777777" w:rsidTr="00E9471B">
        <w:tblPrEx>
          <w:tblW w:w="9049" w:type="dxa"/>
          <w:tblLayout w:type="fixed"/>
          <w:tblLook w:val="04A0"/>
        </w:tblPrEx>
        <w:tc>
          <w:tcPr>
            <w:tcW w:w="851" w:type="dxa"/>
          </w:tcPr>
          <w:p w:rsidR="002F663C" w:rsidRPr="00711F9C" w:rsidP="00C14444" w14:paraId="751DB598"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0FCC8640"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34470CCF" w14:textId="77777777">
            <w:pPr>
              <w:spacing w:before="120" w:after="120"/>
              <w:rPr>
                <w:rFonts w:eastAsia="Calibri" w:cs="Times New Roman"/>
              </w:rPr>
            </w:pPr>
            <w:hyperlink r:id="rId6" w:tgtFrame="_blank" w:history="1">
              <w:r w:rsidRPr="002F663C">
                <w:rPr>
                  <w:rFonts w:eastAsia="Calibri" w:cs="Times New Roman"/>
                  <w:color w:val="0000FF"/>
                  <w:u w:val="single"/>
                </w:rPr>
                <w:t>https://app.leg.wa.gov/WAC/default.aspx?cite=173-337</w:t>
              </w:r>
            </w:hyperlink>
          </w:p>
        </w:tc>
      </w:tr>
      <w:tr w14:paraId="7532DC33" w14:textId="77777777" w:rsidTr="00E9471B">
        <w:tblPrEx>
          <w:tblW w:w="9049" w:type="dxa"/>
          <w:tblLayout w:type="fixed"/>
          <w:tblLook w:val="04A0"/>
        </w:tblPrEx>
        <w:tc>
          <w:tcPr>
            <w:tcW w:w="851" w:type="dxa"/>
          </w:tcPr>
          <w:p w:rsidR="002F663C" w:rsidRPr="00711F9C" w:rsidP="00C14444" w14:paraId="6DAC039C"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7B135D9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30F9AB71"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6B39F20E" w14:textId="77777777" w:rsidTr="00E9471B">
        <w:tblPrEx>
          <w:tblW w:w="9049" w:type="dxa"/>
          <w:tblLayout w:type="fixed"/>
          <w:tblLook w:val="04A0"/>
        </w:tblPrEx>
        <w:tc>
          <w:tcPr>
            <w:tcW w:w="851" w:type="dxa"/>
          </w:tcPr>
          <w:p w:rsidR="002F663C" w:rsidRPr="00711F9C" w:rsidP="00C14444" w14:paraId="3B367BA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4336C19"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33C6C32A"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5EBB4EA" w14:textId="77777777" w:rsidTr="00E9471B">
        <w:tblPrEx>
          <w:tblW w:w="9049" w:type="dxa"/>
          <w:tblLayout w:type="fixed"/>
          <w:tblLook w:val="04A0"/>
        </w:tblPrEx>
        <w:tc>
          <w:tcPr>
            <w:tcW w:w="851" w:type="dxa"/>
          </w:tcPr>
          <w:p w:rsidR="002F663C" w:rsidRPr="00711F9C" w:rsidP="00C14444" w14:paraId="2907EE1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30458428"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397441F0" w14:textId="77777777" w:rsidTr="00E9471B">
        <w:tblPrEx>
          <w:tblW w:w="9049" w:type="dxa"/>
          <w:tblLayout w:type="fixed"/>
          <w:tblLook w:val="04A0"/>
        </w:tblPrEx>
        <w:tc>
          <w:tcPr>
            <w:tcW w:w="851" w:type="dxa"/>
            <w:tcBorders>
              <w:bottom w:val="double" w:sz="4" w:space="0" w:color="auto"/>
            </w:tcBorders>
          </w:tcPr>
          <w:p w:rsidR="002F663C" w:rsidRPr="00711F9C" w:rsidP="00C14444" w14:paraId="6E8872A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P="00EB7B40" w14:paraId="456C2EF5"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612D1A" w:rsidRPr="002F663C" w:rsidP="00EB7B40" w14:paraId="03A3AEC4" w14:textId="4B9E58C4">
            <w:pPr>
              <w:spacing w:before="60" w:after="60"/>
              <w:rPr>
                <w:rFonts w:eastAsia="Calibri" w:cs="Times New Roman"/>
              </w:rPr>
            </w:pPr>
            <w:hyperlink r:id="rId7" w:history="1">
              <w:r w:rsidRPr="00774FFB">
                <w:rPr>
                  <w:rStyle w:val="Hyperlink"/>
                  <w:rFonts w:eastAsia="Calibri" w:cs="Times New Roman"/>
                </w:rPr>
                <w:t>https://members.wto.org/crnattachments/2025/TBT/USA/final_measure/25_08467_00_e.pdf</w:t>
              </w:r>
            </w:hyperlink>
            <w:r>
              <w:rPr>
                <w:rFonts w:eastAsia="Calibri" w:cs="Times New Roman"/>
              </w:rPr>
              <w:t xml:space="preserve"> </w:t>
            </w:r>
          </w:p>
        </w:tc>
      </w:tr>
      <w:bookmarkEnd w:id="0"/>
    </w:tbl>
    <w:p w:rsidR="002F663C" w:rsidRPr="002F663C" w:rsidP="002F663C" w14:paraId="3C125886" w14:textId="77777777">
      <w:pPr>
        <w:jc w:val="left"/>
        <w:rPr>
          <w:rFonts w:eastAsia="Calibri" w:cs="Times New Roman"/>
          <w:highlight w:val="yellow"/>
        </w:rPr>
      </w:pPr>
    </w:p>
    <w:p w:rsidR="003971FF" w:rsidRPr="007F6EA2" w:rsidP="00B16ACF" w14:paraId="26DAD955"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On 20 November 2025, the State of Washington Department of Ecology adopted amendments to </w:t>
      </w:r>
      <w:hyperlink r:id="rId8" w:history="1">
        <w:r w:rsidRPr="002F663C">
          <w:rPr>
            <w:rFonts w:eastAsia="Calibri" w:cs="Times New Roman"/>
            <w:color w:val="0000FF"/>
            <w:szCs w:val="18"/>
            <w:u w:val="single"/>
          </w:rPr>
          <w:t>Safer Products Restrictions and Reporting</w:t>
        </w:r>
      </w:hyperlink>
      <w:r w:rsidRPr="002F663C">
        <w:rPr>
          <w:rFonts w:eastAsia="Calibri" w:cs="Times New Roman"/>
          <w:szCs w:val="18"/>
        </w:rPr>
        <w:t xml:space="preserve"> (</w:t>
      </w:r>
      <w:hyperlink r:id="rId6" w:history="1">
        <w:r w:rsidRPr="002F663C">
          <w:rPr>
            <w:rFonts w:eastAsia="Calibri" w:cs="Times New Roman"/>
            <w:color w:val="0000FF"/>
            <w:szCs w:val="18"/>
            <w:u w:val="single"/>
          </w:rPr>
          <w:t>Chapter 173-337 WAC</w:t>
        </w:r>
      </w:hyperlink>
      <w:r w:rsidRPr="002F663C">
        <w:rPr>
          <w:rFonts w:eastAsia="Calibri" w:cs="Times New Roman"/>
          <w:szCs w:val="18"/>
        </w:rPr>
        <w:t>). This rule adopts restrictions and reporting requirements related to the intentional addition of per- and polyfluoroalkyl substances (</w:t>
      </w:r>
      <w:hyperlink r:id="rId9" w:history="1">
        <w:r w:rsidRPr="002F663C">
          <w:rPr>
            <w:rFonts w:eastAsia="Calibri" w:cs="Times New Roman"/>
            <w:color w:val="0000FF"/>
            <w:szCs w:val="18"/>
            <w:u w:val="single"/>
          </w:rPr>
          <w:t>PFAS</w:t>
        </w:r>
      </w:hyperlink>
      <w:r w:rsidRPr="002F663C">
        <w:rPr>
          <w:rFonts w:eastAsia="Calibri" w:cs="Times New Roman"/>
          <w:szCs w:val="18"/>
        </w:rPr>
        <w:t>) in the following product categories.</w:t>
      </w:r>
    </w:p>
    <w:p w:rsidR="007B14D3" w:rsidRPr="002F663C" w:rsidP="00B16ACF" w14:paraId="34D064C0" w14:textId="77777777">
      <w:pPr>
        <w:spacing w:before="120" w:after="120"/>
        <w:rPr>
          <w:rFonts w:eastAsia="Calibri" w:cs="Times New Roman"/>
          <w:szCs w:val="18"/>
        </w:rPr>
      </w:pPr>
      <w:r w:rsidRPr="002F663C">
        <w:rPr>
          <w:rFonts w:eastAsia="Calibri" w:cs="Times New Roman"/>
          <w:szCs w:val="18"/>
        </w:rPr>
        <w:t>The adopted rule restricts the intentional addition of PFAS in:</w:t>
      </w:r>
    </w:p>
    <w:p w:rsidR="007B14D3" w:rsidRPr="002F663C" w:rsidP="00B16ACF" w14:paraId="39B5EF8B" w14:textId="77777777">
      <w:pPr>
        <w:numPr>
          <w:ilvl w:val="0"/>
          <w:numId w:val="17"/>
        </w:numPr>
        <w:spacing w:before="120" w:after="120"/>
        <w:rPr>
          <w:rFonts w:eastAsia="Calibri" w:cs="Times New Roman"/>
          <w:szCs w:val="18"/>
        </w:rPr>
      </w:pPr>
      <w:r w:rsidRPr="002F663C">
        <w:rPr>
          <w:rFonts w:eastAsia="Calibri" w:cs="Times New Roman"/>
          <w:szCs w:val="18"/>
        </w:rPr>
        <w:t>Apparel and accessories.</w:t>
      </w:r>
    </w:p>
    <w:p w:rsidR="007B14D3" w:rsidRPr="002F663C" w:rsidP="00B16ACF" w14:paraId="13B38084" w14:textId="77777777">
      <w:pPr>
        <w:numPr>
          <w:ilvl w:val="0"/>
          <w:numId w:val="17"/>
        </w:numPr>
        <w:spacing w:before="120" w:after="120"/>
        <w:rPr>
          <w:rFonts w:eastAsia="Calibri" w:cs="Times New Roman"/>
          <w:szCs w:val="18"/>
        </w:rPr>
      </w:pPr>
      <w:r w:rsidRPr="002F663C">
        <w:rPr>
          <w:rFonts w:eastAsia="Calibri" w:cs="Times New Roman"/>
          <w:szCs w:val="18"/>
        </w:rPr>
        <w:t>Automotive washes.</w:t>
      </w:r>
    </w:p>
    <w:p w:rsidR="007B14D3" w:rsidRPr="002F663C" w:rsidP="00B16ACF" w14:paraId="6855F356" w14:textId="77777777">
      <w:pPr>
        <w:numPr>
          <w:ilvl w:val="0"/>
          <w:numId w:val="17"/>
        </w:numPr>
        <w:spacing w:before="120" w:after="120"/>
        <w:rPr>
          <w:rFonts w:eastAsia="Calibri" w:cs="Times New Roman"/>
          <w:szCs w:val="18"/>
        </w:rPr>
      </w:pPr>
      <w:r w:rsidRPr="002F663C">
        <w:rPr>
          <w:rFonts w:eastAsia="Calibri" w:cs="Times New Roman"/>
          <w:szCs w:val="18"/>
        </w:rPr>
        <w:t>Cleaning products.</w:t>
      </w:r>
    </w:p>
    <w:p w:rsidR="007B14D3" w:rsidRPr="002F663C" w:rsidP="00B16ACF" w14:paraId="44650A9A" w14:textId="77777777">
      <w:pPr>
        <w:spacing w:before="120" w:after="120"/>
        <w:rPr>
          <w:rFonts w:eastAsia="Calibri" w:cs="Times New Roman"/>
          <w:szCs w:val="18"/>
        </w:rPr>
      </w:pPr>
      <w:r w:rsidRPr="002F663C">
        <w:rPr>
          <w:rFonts w:eastAsia="Calibri" w:cs="Times New Roman"/>
          <w:szCs w:val="18"/>
        </w:rPr>
        <w:t>The adopted rule requires manufacturers to report the intentional addition of PFAS in:</w:t>
      </w:r>
    </w:p>
    <w:p w:rsidR="007B14D3" w:rsidRPr="002F663C" w:rsidP="00B16ACF" w14:paraId="7354800C" w14:textId="77777777">
      <w:pPr>
        <w:numPr>
          <w:ilvl w:val="0"/>
          <w:numId w:val="18"/>
        </w:numPr>
        <w:spacing w:before="120" w:after="120"/>
        <w:rPr>
          <w:rFonts w:eastAsia="Calibri" w:cs="Times New Roman"/>
          <w:szCs w:val="18"/>
        </w:rPr>
      </w:pPr>
      <w:r w:rsidRPr="002F663C">
        <w:rPr>
          <w:rFonts w:eastAsia="Calibri" w:cs="Times New Roman"/>
          <w:szCs w:val="18"/>
        </w:rPr>
        <w:t>Apparel intended for extreme and extended use.</w:t>
      </w:r>
    </w:p>
    <w:p w:rsidR="007B14D3" w:rsidRPr="002F663C" w:rsidP="00B16ACF" w14:paraId="0BC13EDA" w14:textId="77777777">
      <w:pPr>
        <w:numPr>
          <w:ilvl w:val="0"/>
          <w:numId w:val="18"/>
        </w:numPr>
        <w:spacing w:before="120" w:after="120"/>
        <w:rPr>
          <w:rFonts w:eastAsia="Calibri" w:cs="Times New Roman"/>
          <w:szCs w:val="18"/>
        </w:rPr>
      </w:pPr>
      <w:r w:rsidRPr="002F663C">
        <w:rPr>
          <w:rFonts w:eastAsia="Calibri" w:cs="Times New Roman"/>
          <w:szCs w:val="18"/>
        </w:rPr>
        <w:t>Footwear.</w:t>
      </w:r>
    </w:p>
    <w:p w:rsidR="007B14D3" w:rsidRPr="002F663C" w:rsidP="00B16ACF" w14:paraId="0F94F9A7" w14:textId="77777777">
      <w:pPr>
        <w:numPr>
          <w:ilvl w:val="0"/>
          <w:numId w:val="18"/>
        </w:numPr>
        <w:spacing w:before="120" w:after="120"/>
        <w:rPr>
          <w:rFonts w:eastAsia="Calibri" w:cs="Times New Roman"/>
          <w:szCs w:val="18"/>
        </w:rPr>
      </w:pPr>
      <w:r w:rsidRPr="002F663C">
        <w:rPr>
          <w:rFonts w:eastAsia="Calibri" w:cs="Times New Roman"/>
          <w:szCs w:val="18"/>
        </w:rPr>
        <w:t>Gear for recreation and travel.</w:t>
      </w:r>
    </w:p>
    <w:p w:rsidR="007B14D3" w:rsidRPr="002F663C" w:rsidP="00B16ACF" w14:paraId="613A47F1" w14:textId="77777777">
      <w:pPr>
        <w:numPr>
          <w:ilvl w:val="0"/>
          <w:numId w:val="18"/>
        </w:numPr>
        <w:spacing w:before="120" w:after="120"/>
        <w:rPr>
          <w:rFonts w:eastAsia="Calibri" w:cs="Times New Roman"/>
          <w:szCs w:val="18"/>
        </w:rPr>
      </w:pPr>
      <w:r w:rsidRPr="002F663C">
        <w:rPr>
          <w:rFonts w:eastAsia="Calibri" w:cs="Times New Roman"/>
          <w:szCs w:val="18"/>
        </w:rPr>
        <w:t>Automotive waxes.</w:t>
      </w:r>
    </w:p>
    <w:p w:rsidR="007B14D3" w:rsidRPr="002F663C" w:rsidP="00B16ACF" w14:paraId="13E6E54F" w14:textId="77777777">
      <w:pPr>
        <w:numPr>
          <w:ilvl w:val="0"/>
          <w:numId w:val="18"/>
        </w:numPr>
        <w:spacing w:before="120" w:after="120"/>
        <w:rPr>
          <w:rFonts w:eastAsia="Calibri" w:cs="Times New Roman"/>
          <w:szCs w:val="18"/>
        </w:rPr>
      </w:pPr>
      <w:r w:rsidRPr="002F663C">
        <w:rPr>
          <w:rFonts w:eastAsia="Calibri" w:cs="Times New Roman"/>
          <w:szCs w:val="18"/>
        </w:rPr>
        <w:t>Cookware and kitchen supplies.</w:t>
      </w:r>
    </w:p>
    <w:p w:rsidR="007B14D3" w:rsidRPr="002F663C" w:rsidP="00B16ACF" w14:paraId="1BF7CBBD" w14:textId="77777777">
      <w:pPr>
        <w:numPr>
          <w:ilvl w:val="0"/>
          <w:numId w:val="18"/>
        </w:numPr>
        <w:spacing w:before="120" w:after="120"/>
        <w:rPr>
          <w:rFonts w:eastAsia="Calibri" w:cs="Times New Roman"/>
          <w:szCs w:val="18"/>
        </w:rPr>
      </w:pPr>
      <w:r w:rsidRPr="002F663C">
        <w:rPr>
          <w:rFonts w:eastAsia="Calibri" w:cs="Times New Roman"/>
          <w:szCs w:val="18"/>
        </w:rPr>
        <w:t>Firefighting personal protective equipment (PPE).</w:t>
      </w:r>
    </w:p>
    <w:p w:rsidR="007B14D3" w:rsidRPr="002F663C" w:rsidP="00B16ACF" w14:paraId="0C4FC271" w14:textId="77777777">
      <w:pPr>
        <w:numPr>
          <w:ilvl w:val="0"/>
          <w:numId w:val="18"/>
        </w:numPr>
        <w:spacing w:before="120" w:after="120"/>
        <w:rPr>
          <w:rFonts w:eastAsia="Calibri" w:cs="Times New Roman"/>
          <w:szCs w:val="18"/>
        </w:rPr>
      </w:pPr>
      <w:r w:rsidRPr="002F663C">
        <w:rPr>
          <w:rFonts w:eastAsia="Calibri" w:cs="Times New Roman"/>
          <w:szCs w:val="18"/>
        </w:rPr>
        <w:t>Floor waxes and polishes.</w:t>
      </w:r>
    </w:p>
    <w:p w:rsidR="007B14D3" w:rsidRPr="002F663C" w:rsidP="00B16ACF" w14:paraId="6AE3260A" w14:textId="77777777">
      <w:pPr>
        <w:numPr>
          <w:ilvl w:val="0"/>
          <w:numId w:val="18"/>
        </w:numPr>
        <w:spacing w:before="120" w:after="120"/>
        <w:rPr>
          <w:rFonts w:eastAsia="Calibri" w:cs="Times New Roman"/>
          <w:szCs w:val="18"/>
        </w:rPr>
      </w:pPr>
      <w:r w:rsidRPr="002F663C">
        <w:rPr>
          <w:rFonts w:eastAsia="Calibri" w:cs="Times New Roman"/>
          <w:szCs w:val="18"/>
        </w:rPr>
        <w:t>Hard surface sealers.</w:t>
      </w:r>
    </w:p>
    <w:p w:rsidR="007B14D3" w:rsidRPr="002F663C" w:rsidP="00B16ACF" w14:paraId="2737484B" w14:textId="77777777">
      <w:pPr>
        <w:numPr>
          <w:ilvl w:val="0"/>
          <w:numId w:val="18"/>
        </w:numPr>
        <w:spacing w:before="120" w:after="120"/>
        <w:rPr>
          <w:rFonts w:eastAsia="Calibri" w:cs="Times New Roman"/>
          <w:szCs w:val="18"/>
        </w:rPr>
      </w:pPr>
      <w:r w:rsidRPr="002F663C">
        <w:rPr>
          <w:rFonts w:eastAsia="Calibri" w:cs="Times New Roman"/>
          <w:szCs w:val="18"/>
        </w:rPr>
        <w:t>Ski waxes.</w:t>
      </w:r>
    </w:p>
    <w:p w:rsidR="007B14D3" w:rsidRPr="002F663C" w:rsidP="00B16ACF" w14:paraId="0EDD2610" w14:textId="77777777">
      <w:pPr>
        <w:spacing w:before="120" w:after="120"/>
        <w:rPr>
          <w:rFonts w:eastAsia="Calibri" w:cs="Times New Roman"/>
          <w:szCs w:val="18"/>
        </w:rPr>
      </w:pPr>
      <w:r w:rsidRPr="002F663C">
        <w:rPr>
          <w:rFonts w:eastAsia="Calibri" w:cs="Times New Roman"/>
          <w:szCs w:val="18"/>
        </w:rPr>
        <w:t>PFAS are a class of toxic chemicals that are used for various functions in consumer products, such as adding water resistance in apparel or to aid in soil or stain removal in cleaning products. Although those qualities have made them widely used in a range of products, many of these chemicals have also been shown to build up in people, animals, and the environment over time. They're often called "forever chemicals" because many don't completely break down in the environment.</w:t>
      </w:r>
    </w:p>
    <w:p w:rsidR="007B14D3" w:rsidRPr="002F663C" w:rsidP="00B16ACF" w14:paraId="5509EBDC" w14:textId="77777777">
      <w:pPr>
        <w:spacing w:before="120" w:after="120"/>
        <w:rPr>
          <w:rFonts w:eastAsia="Calibri" w:cs="Times New Roman"/>
          <w:szCs w:val="18"/>
        </w:rPr>
      </w:pPr>
      <w:r w:rsidRPr="002F663C">
        <w:rPr>
          <w:rFonts w:eastAsia="Calibri" w:cs="Times New Roman"/>
          <w:szCs w:val="18"/>
        </w:rPr>
        <w:t>People can be exposed to PFAS when they use products containing PFAS. Consumer products can also release PFAS into dust or the air. Many PFAS are linked to cancer as well as reproductive and developmental harm in humans. They are also linked to toxicity in fish and wildlife.</w:t>
      </w:r>
    </w:p>
    <w:p w:rsidR="007B14D3" w:rsidRPr="002F663C" w:rsidP="00B16ACF" w14:paraId="78AA2BAA" w14:textId="77777777">
      <w:pPr>
        <w:spacing w:before="120" w:after="120"/>
        <w:rPr>
          <w:rFonts w:eastAsia="Calibri" w:cs="Times New Roman"/>
          <w:szCs w:val="18"/>
        </w:rPr>
      </w:pPr>
      <w:r w:rsidRPr="002F663C">
        <w:rPr>
          <w:rFonts w:eastAsia="Calibri" w:cs="Times New Roman"/>
          <w:szCs w:val="18"/>
        </w:rPr>
        <w:t>The restrictions and reporting requirements in the adopted rule:</w:t>
      </w:r>
    </w:p>
    <w:p w:rsidR="007B14D3" w:rsidRPr="002F663C" w:rsidP="00B16ACF" w14:paraId="335A034F" w14:textId="77777777">
      <w:pPr>
        <w:numPr>
          <w:ilvl w:val="0"/>
          <w:numId w:val="19"/>
        </w:numPr>
        <w:spacing w:before="120" w:after="120"/>
        <w:rPr>
          <w:rFonts w:eastAsia="Calibri" w:cs="Times New Roman"/>
          <w:szCs w:val="18"/>
        </w:rPr>
      </w:pPr>
      <w:r w:rsidRPr="002F663C">
        <w:rPr>
          <w:rFonts w:eastAsia="Calibri" w:cs="Times New Roman"/>
          <w:szCs w:val="18"/>
        </w:rPr>
        <w:t>Affect manufacturers, distributors, and retailers of the 12 product categories that operate in Washington State.</w:t>
      </w:r>
    </w:p>
    <w:p w:rsidR="007B14D3" w:rsidRPr="002F663C" w:rsidP="00B16ACF" w14:paraId="1F3DAC91" w14:textId="77777777">
      <w:pPr>
        <w:numPr>
          <w:ilvl w:val="0"/>
          <w:numId w:val="19"/>
        </w:numPr>
        <w:spacing w:before="120" w:after="120"/>
        <w:rPr>
          <w:rFonts w:eastAsia="Calibri" w:cs="Times New Roman"/>
          <w:szCs w:val="18"/>
        </w:rPr>
      </w:pPr>
      <w:r w:rsidRPr="002F663C">
        <w:rPr>
          <w:rFonts w:eastAsia="Calibri" w:cs="Times New Roman"/>
          <w:szCs w:val="18"/>
        </w:rPr>
        <w:t>Apply to covered consumer products sold online and in physical stores.</w:t>
      </w:r>
    </w:p>
    <w:p w:rsidR="007B14D3" w:rsidRPr="002F663C" w:rsidP="00B16ACF" w14:paraId="1C11F95D" w14:textId="77777777">
      <w:pPr>
        <w:spacing w:before="120" w:after="120"/>
        <w:rPr>
          <w:rFonts w:eastAsia="Calibri" w:cs="Times New Roman"/>
          <w:szCs w:val="18"/>
        </w:rPr>
      </w:pPr>
      <w:r w:rsidRPr="002F663C">
        <w:rPr>
          <w:rFonts w:eastAsia="Calibri" w:cs="Times New Roman"/>
          <w:szCs w:val="18"/>
        </w:rPr>
        <w:t>Key dates</w:t>
      </w:r>
    </w:p>
    <w:p w:rsidR="007B14D3" w:rsidRPr="002F663C" w:rsidP="00B16ACF" w14:paraId="78983195" w14:textId="77777777">
      <w:pPr>
        <w:numPr>
          <w:ilvl w:val="0"/>
          <w:numId w:val="20"/>
        </w:numPr>
        <w:spacing w:before="120" w:after="120"/>
        <w:rPr>
          <w:rFonts w:eastAsia="Calibri" w:cs="Times New Roman"/>
          <w:szCs w:val="18"/>
        </w:rPr>
      </w:pPr>
      <w:r w:rsidRPr="002F663C">
        <w:rPr>
          <w:rFonts w:eastAsia="Calibri" w:cs="Times New Roman"/>
          <w:szCs w:val="18"/>
        </w:rPr>
        <w:t>20 November 2025: Rule adopted.</w:t>
      </w:r>
    </w:p>
    <w:p w:rsidR="007B14D3" w:rsidRPr="002F663C" w:rsidP="00B16ACF" w14:paraId="01B3284E" w14:textId="77777777">
      <w:pPr>
        <w:numPr>
          <w:ilvl w:val="0"/>
          <w:numId w:val="20"/>
        </w:numPr>
        <w:spacing w:before="120" w:after="120"/>
        <w:rPr>
          <w:rFonts w:eastAsia="Calibri" w:cs="Times New Roman"/>
          <w:szCs w:val="18"/>
        </w:rPr>
      </w:pPr>
      <w:r w:rsidRPr="002F663C">
        <w:rPr>
          <w:rFonts w:eastAsia="Calibri" w:cs="Times New Roman"/>
          <w:szCs w:val="18"/>
        </w:rPr>
        <w:t>21 December 2025: Rule takes effect.</w:t>
      </w:r>
    </w:p>
    <w:p w:rsidR="007B14D3" w:rsidRPr="002F663C" w:rsidP="00B16ACF" w14:paraId="511DDF86" w14:textId="77777777">
      <w:pPr>
        <w:numPr>
          <w:ilvl w:val="0"/>
          <w:numId w:val="20"/>
        </w:numPr>
        <w:spacing w:before="120" w:after="120"/>
        <w:rPr>
          <w:rFonts w:eastAsia="Calibri" w:cs="Times New Roman"/>
          <w:szCs w:val="18"/>
        </w:rPr>
      </w:pPr>
      <w:r w:rsidRPr="002F663C">
        <w:rPr>
          <w:rFonts w:eastAsia="Calibri" w:cs="Times New Roman"/>
          <w:szCs w:val="18"/>
        </w:rPr>
        <w:t>1 January 2026: Manufacturers must identify and track consumer products with new reporting requirements in this rule.</w:t>
      </w:r>
    </w:p>
    <w:p w:rsidR="007B14D3" w:rsidRPr="002F663C" w:rsidP="00B16ACF" w14:paraId="0214F173" w14:textId="77777777">
      <w:pPr>
        <w:numPr>
          <w:ilvl w:val="0"/>
          <w:numId w:val="20"/>
        </w:numPr>
        <w:spacing w:before="120" w:after="120"/>
        <w:rPr>
          <w:rFonts w:eastAsia="Calibri" w:cs="Times New Roman"/>
          <w:szCs w:val="18"/>
        </w:rPr>
      </w:pPr>
      <w:r w:rsidRPr="002F663C">
        <w:rPr>
          <w:rFonts w:eastAsia="Calibri" w:cs="Times New Roman"/>
          <w:szCs w:val="18"/>
        </w:rPr>
        <w:t>1 January 2027: New restrictions in this rule take effect.</w:t>
      </w:r>
    </w:p>
    <w:p w:rsidR="007B14D3" w:rsidRPr="002F663C" w:rsidP="00B16ACF" w14:paraId="787F841E" w14:textId="77777777">
      <w:pPr>
        <w:numPr>
          <w:ilvl w:val="0"/>
          <w:numId w:val="20"/>
        </w:numPr>
        <w:spacing w:before="120" w:after="120"/>
        <w:rPr>
          <w:rFonts w:eastAsia="Calibri" w:cs="Times New Roman"/>
          <w:szCs w:val="18"/>
        </w:rPr>
      </w:pPr>
      <w:r w:rsidRPr="002F663C">
        <w:rPr>
          <w:rFonts w:eastAsia="Calibri" w:cs="Times New Roman"/>
          <w:szCs w:val="18"/>
        </w:rPr>
        <w:t>31 January 2027: Reports are due and every year thereafter by 31 January.</w:t>
      </w:r>
    </w:p>
    <w:p w:rsidR="007B14D3" w:rsidRPr="002F663C" w:rsidP="00B16ACF" w14:paraId="4EFC6DB5" w14:textId="77777777">
      <w:pPr>
        <w:spacing w:before="120" w:after="120"/>
        <w:rPr>
          <w:rFonts w:eastAsia="Calibri" w:cs="Times New Roman"/>
          <w:szCs w:val="18"/>
        </w:rPr>
      </w:pPr>
      <w:r w:rsidRPr="002F663C">
        <w:rPr>
          <w:rFonts w:eastAsia="Calibri" w:cs="Times New Roman"/>
          <w:szCs w:val="18"/>
        </w:rPr>
        <w:t xml:space="preserve">Further information can be found on the Safer Products for Washington webpage at </w:t>
      </w:r>
      <w:hyperlink r:id="rId10" w:history="1">
        <w:r w:rsidRPr="002F663C">
          <w:rPr>
            <w:rFonts w:eastAsia="Calibri" w:cs="Times New Roman"/>
            <w:color w:val="0000FF"/>
            <w:szCs w:val="18"/>
            <w:u w:val="single"/>
          </w:rPr>
          <w:t>https://ecology.wa.gov/waste-toxics/reducing-toxic-chemicals/washingtons-toxics-in-products-laws/safer-products</w:t>
        </w:r>
      </w:hyperlink>
      <w:r w:rsidRPr="002F663C">
        <w:rPr>
          <w:rFonts w:eastAsia="Calibri" w:cs="Times New Roman"/>
          <w:szCs w:val="18"/>
        </w:rPr>
        <w:t xml:space="preserve">. Translated content is readily available in Spanish, Chinese, Vietnamese, and Korean. Washington's Department of Ecology can provide written information in other languages and offers in person or telephone interpretation services. The Language Access team can be contacted by e-mail: </w:t>
      </w:r>
      <w:hyperlink r:id="rId11" w:history="1">
        <w:r w:rsidRPr="002F663C">
          <w:rPr>
            <w:rFonts w:eastAsia="Calibri" w:cs="Times New Roman"/>
            <w:color w:val="0000FF"/>
            <w:szCs w:val="18"/>
            <w:u w:val="single"/>
          </w:rPr>
          <w:t>language@ecy.wa.gov</w:t>
        </w:r>
      </w:hyperlink>
      <w:r w:rsidRPr="002F663C">
        <w:rPr>
          <w:rFonts w:eastAsia="Calibri" w:cs="Times New Roman"/>
          <w:szCs w:val="18"/>
        </w:rPr>
        <w:t>.</w:t>
      </w:r>
    </w:p>
    <w:p w:rsidR="006C5A96" w:rsidP="006C5A96" w14:paraId="45099E6E" w14:textId="77777777">
      <w:pPr>
        <w:jc w:val="center"/>
        <w:rPr>
          <w:b/>
        </w:rPr>
      </w:pPr>
      <w:r w:rsidRPr="003971FF">
        <w:rPr>
          <w:b/>
        </w:rPr>
        <w:t>__________</w:t>
      </w:r>
    </w:p>
    <w:p w:rsidR="004D4D19" w:rsidP="007F38C2" w14:paraId="1D0FCE76" w14:textId="77777777">
      <w:pPr>
        <w:jc w:val="center"/>
        <w:rPr>
          <w:b/>
        </w:rPr>
      </w:pPr>
    </w:p>
    <w:p w:rsidR="00A1565D" w:rsidP="003971FF" w14:paraId="027038F2" w14:textId="77777777">
      <w:pPr>
        <w:jc w:val="center"/>
        <w:rPr>
          <w:b/>
        </w:rPr>
      </w:pPr>
    </w:p>
    <w:sectPr w:rsidSect="006C5A96">
      <w:headerReference w:type="even" r:id="rId12"/>
      <w:headerReference w:type="default" r:id="rId13"/>
      <w:footerReference w:type="even" r:id="rId14"/>
      <w:footerReference w:type="default" r:id="rId15"/>
      <w:headerReference w:type="first" r:id="rId16"/>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656C6CF"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E0C50F9"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4D651118" w14:textId="77777777">
      <w:r>
        <w:separator/>
      </w:r>
    </w:p>
  </w:footnote>
  <w:footnote w:type="continuationSeparator" w:id="1">
    <w:p w:rsidR="004D3A6A" w:rsidP="00ED54E0" w14:paraId="7416E9CA" w14:textId="77777777">
      <w:r>
        <w:continuationSeparator/>
      </w:r>
    </w:p>
  </w:footnote>
  <w:footnote w:id="2">
    <w:p w:rsidR="007F6EA2" w14:paraId="6F539860"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26DEDBF"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4E466173" w14:textId="77777777">
    <w:pPr>
      <w:pStyle w:val="Header"/>
      <w:pBdr>
        <w:bottom w:val="single" w:sz="4" w:space="1" w:color="auto"/>
      </w:pBdr>
      <w:tabs>
        <w:tab w:val="clear" w:pos="4513"/>
        <w:tab w:val="clear" w:pos="9027"/>
      </w:tabs>
      <w:jc w:val="center"/>
    </w:pPr>
  </w:p>
  <w:p w:rsidR="00DD3DD7" w:rsidRPr="00DD3DD7" w:rsidP="00DD3DD7" w14:paraId="7D1557EE"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36DB31E2"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5DA86E16" w14:textId="77777777">
    <w:pPr>
      <w:pStyle w:val="Header"/>
      <w:pBdr>
        <w:bottom w:val="single" w:sz="4" w:space="1" w:color="auto"/>
      </w:pBdr>
      <w:tabs>
        <w:tab w:val="clear" w:pos="4513"/>
        <w:tab w:val="clear" w:pos="9027"/>
      </w:tabs>
      <w:jc w:val="center"/>
    </w:pPr>
    <w:bookmarkStart w:id="3" w:name="spsSymbolHeader"/>
    <w:r w:rsidRPr="00DD3DD7">
      <w:t>G/TBT/N/USA/1958/Rev.1/Add.2</w:t>
    </w:r>
    <w:bookmarkEnd w:id="3"/>
  </w:p>
  <w:p w:rsidR="00DD3DD7" w:rsidRPr="00DD3DD7" w:rsidP="00DD3DD7" w14:paraId="21941C48" w14:textId="77777777">
    <w:pPr>
      <w:pStyle w:val="Header"/>
      <w:pBdr>
        <w:bottom w:val="single" w:sz="4" w:space="1" w:color="auto"/>
      </w:pBdr>
      <w:tabs>
        <w:tab w:val="clear" w:pos="4513"/>
        <w:tab w:val="clear" w:pos="9027"/>
      </w:tabs>
      <w:jc w:val="center"/>
    </w:pPr>
  </w:p>
  <w:p w:rsidR="00DD3DD7" w:rsidRPr="00DD3DD7" w:rsidP="00DD3DD7" w14:paraId="4A0DCB46"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0E3C237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D79FA3C"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DE6602C"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5A042E88" w14:textId="77777777">
          <w:pPr>
            <w:jc w:val="right"/>
            <w:rPr>
              <w:b/>
              <w:color w:val="FF0000"/>
              <w:szCs w:val="16"/>
            </w:rPr>
          </w:pPr>
          <w:r>
            <w:rPr>
              <w:b/>
              <w:color w:val="FF0000"/>
              <w:szCs w:val="16"/>
            </w:rPr>
            <w:t xml:space="preserve"> </w:t>
          </w:r>
        </w:p>
      </w:tc>
    </w:tr>
    <w:tr w14:paraId="14C081FB"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7B81C009"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BB11D5E" w14:textId="77777777">
          <w:pPr>
            <w:jc w:val="right"/>
            <w:rPr>
              <w:b/>
              <w:szCs w:val="16"/>
            </w:rPr>
          </w:pPr>
        </w:p>
      </w:tc>
    </w:tr>
    <w:tr w14:paraId="73A9D486"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38474410"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210AF766" w14:textId="77777777">
          <w:pPr>
            <w:jc w:val="right"/>
            <w:rPr>
              <w:rFonts w:eastAsia="Calibri" w:cs="Times New Roman"/>
              <w:b/>
              <w:szCs w:val="16"/>
            </w:rPr>
          </w:pPr>
          <w:bookmarkStart w:id="4" w:name="bmkSymbols"/>
          <w:r w:rsidRPr="002F663C">
            <w:rPr>
              <w:rFonts w:eastAsia="Calibri" w:cs="Times New Roman"/>
              <w:b/>
              <w:szCs w:val="16"/>
            </w:rPr>
            <w:t>G/TBT/N/USA/1958/Rev.1/Add.2</w:t>
          </w:r>
          <w:bookmarkEnd w:id="4"/>
        </w:p>
        <w:p w:rsidR="00C14444" w:rsidRPr="00C14444" w:rsidP="00C14444" w14:paraId="3CC1D8E0" w14:textId="77777777">
          <w:pPr>
            <w:jc w:val="center"/>
            <w:rPr>
              <w:szCs w:val="16"/>
            </w:rPr>
          </w:pPr>
        </w:p>
      </w:tc>
    </w:tr>
    <w:tr w14:paraId="25EEFBAD"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554B2000" w14:textId="77777777"/>
      </w:tc>
      <w:tc>
        <w:tcPr>
          <w:tcW w:w="5448" w:type="dxa"/>
          <w:gridSpan w:val="2"/>
          <w:shd w:val="clear" w:color="auto" w:fill="FFFFFF"/>
          <w:tcMar>
            <w:left w:w="108" w:type="dxa"/>
            <w:right w:w="108" w:type="dxa"/>
          </w:tcMar>
          <w:vAlign w:val="center"/>
        </w:tcPr>
        <w:p w:rsidR="00ED54E0" w:rsidRPr="00182B84" w:rsidP="00425DC5" w14:paraId="3E177BA3" w14:textId="77777777">
          <w:pPr>
            <w:jc w:val="right"/>
            <w:rPr>
              <w:szCs w:val="16"/>
            </w:rPr>
          </w:pPr>
          <w:bookmarkStart w:id="5" w:name="bmkDate"/>
          <w:r w:rsidRPr="00182B84">
            <w:rPr>
              <w:szCs w:val="16"/>
            </w:rPr>
            <w:t>3 December 2025</w:t>
          </w:r>
          <w:bookmarkEnd w:id="5"/>
        </w:p>
      </w:tc>
    </w:tr>
    <w:tr w14:paraId="30F87915"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5C39DF0F" w14:textId="77777777">
          <w:pPr>
            <w:jc w:val="left"/>
            <w:rPr>
              <w:b/>
            </w:rPr>
          </w:pPr>
          <w:bookmarkStart w:id="6" w:name="bmkSerial"/>
          <w:r>
            <w:rPr>
              <w:rFonts w:ascii="Verdana" w:eastAsia="Verdana" w:hAnsi="Verdana" w:cs="Verdana"/>
              <w:b w:val="0"/>
              <w:color w:val="FF0000"/>
              <w:sz w:val="18"/>
            </w:rPr>
            <w:t>(25-8104)</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332F19AB"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146EBB33"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749EACD"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9C1A1F2"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71057C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3D526BD"/>
    <w:multiLevelType w:val="hybridMultilevel"/>
    <w:tmpl w:val="63D526B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3D526BE"/>
    <w:multiLevelType w:val="hybridMultilevel"/>
    <w:tmpl w:val="63D526B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208839970">
    <w:abstractNumId w:val="9"/>
  </w:num>
  <w:num w:numId="2" w16cid:durableId="1836917664">
    <w:abstractNumId w:val="7"/>
  </w:num>
  <w:num w:numId="3" w16cid:durableId="1354842551">
    <w:abstractNumId w:val="6"/>
  </w:num>
  <w:num w:numId="4" w16cid:durableId="1081830565">
    <w:abstractNumId w:val="5"/>
  </w:num>
  <w:num w:numId="5" w16cid:durableId="983511859">
    <w:abstractNumId w:val="4"/>
  </w:num>
  <w:num w:numId="6" w16cid:durableId="803081924">
    <w:abstractNumId w:val="12"/>
  </w:num>
  <w:num w:numId="7" w16cid:durableId="1924945837">
    <w:abstractNumId w:val="11"/>
  </w:num>
  <w:num w:numId="8" w16cid:durableId="58672942">
    <w:abstractNumId w:val="10"/>
  </w:num>
  <w:num w:numId="9" w16cid:durableId="8841045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56151278">
    <w:abstractNumId w:val="13"/>
  </w:num>
  <w:num w:numId="11" w16cid:durableId="1916091487">
    <w:abstractNumId w:val="8"/>
  </w:num>
  <w:num w:numId="12" w16cid:durableId="2128347710">
    <w:abstractNumId w:val="3"/>
  </w:num>
  <w:num w:numId="13" w16cid:durableId="11611488">
    <w:abstractNumId w:val="2"/>
  </w:num>
  <w:num w:numId="14" w16cid:durableId="947540064">
    <w:abstractNumId w:val="1"/>
  </w:num>
  <w:num w:numId="15" w16cid:durableId="28188546">
    <w:abstractNumId w:val="0"/>
  </w:num>
  <w:num w:numId="16" w16cid:durableId="954556095">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 w:numId="17" w16cid:durableId="1677614120">
    <w:abstractNumId w:val="14"/>
  </w:num>
  <w:num w:numId="18" w16cid:durableId="832642217">
    <w:abstractNumId w:val="15"/>
  </w:num>
  <w:num w:numId="19" w16cid:durableId="626353222">
    <w:abstractNumId w:val="16"/>
  </w:num>
  <w:num w:numId="20" w16cid:durableId="86606497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224C"/>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2D1A"/>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4FFB"/>
    <w:rsid w:val="007755FC"/>
    <w:rsid w:val="00782B32"/>
    <w:rsid w:val="00782EF4"/>
    <w:rsid w:val="00787DBC"/>
    <w:rsid w:val="007A1BFD"/>
    <w:rsid w:val="007B14D3"/>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15A0"/>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46E4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 w:type="character" w:styleId="UnresolvedMention">
    <w:name w:val="Unresolved Mention"/>
    <w:basedOn w:val="DefaultParagraphFont"/>
    <w:uiPriority w:val="99"/>
    <w:rsid w:val="00612D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cology.wa.gov/waste-toxics/reducing-toxic-chemicals/washingtons-toxics-in-products-laws/safer-products" TargetMode="External" /><Relationship Id="rId11" Type="http://schemas.openxmlformats.org/officeDocument/2006/relationships/hyperlink" Target="mailto:language@ecy.wa.gov"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app.leg.wa.gov/WAC/default.aspx?cite=173-337" TargetMode="External" /><Relationship Id="rId7" Type="http://schemas.openxmlformats.org/officeDocument/2006/relationships/hyperlink" Target="https://members.wto.org/crnattachments/2025/TBT/USA/final_measure/25_08467_00_e.pdf" TargetMode="External" /><Relationship Id="rId8" Type="http://schemas.openxmlformats.org/officeDocument/2006/relationships/hyperlink" Target="https://ecology.wa.gov/regulations-permits/laws-rules-rulemaking/rulemaking/wac-173-337-nov2023" TargetMode="External" /><Relationship Id="rId9" Type="http://schemas.openxmlformats.org/officeDocument/2006/relationships/hyperlink" Target="https://www.epa.gov/pfas"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664</Words>
  <Characters>3788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2025-12-03T15:54:00Z</dcterms:created>
  <dcterms:modified xsi:type="dcterms:W3CDTF">2025-12-03T15:55:00Z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