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37BEE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CA3A16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C748F9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B1241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EB5682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06960E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RUSSIAN FEDERATION</w:t>
            </w:r>
          </w:p>
          <w:p w:rsidR="00F85C99" w:rsidRPr="002F6A28" w:rsidP="002F6A28" w14:paraId="75B77BB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07B54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5739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B53A37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2B2A6FB" w14:textId="77777777">
            <w:r w:rsidRPr="00C379C8">
              <w:t>Russian Scientific and Technical Center for Information on Standardization, Metrology and Conformity Assessment (Standartinform, National enquiry point for the TBT Agreement)</w:t>
            </w:r>
          </w:p>
          <w:p w:rsidR="00EE3A11" w:rsidRPr="00C379C8" w:rsidP="000C3B6C" w14:paraId="2ABCBF2E" w14:textId="77777777">
            <w:r w:rsidRPr="00C379C8">
              <w:t>Tel: +7(495) 531-26-59</w:t>
            </w:r>
          </w:p>
          <w:p w:rsidR="00EE3A11" w:rsidRPr="00C379C8" w:rsidP="000C3B6C" w14:paraId="25FF12F1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info@gostinfo.ru</w:t>
              </w:r>
            </w:hyperlink>
          </w:p>
          <w:p w:rsidR="00EE3A11" w:rsidRPr="00C379C8" w:rsidP="000C3B6C" w14:paraId="4586691D" w14:textId="6F90261C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774FFB">
                <w:rPr>
                  <w:rStyle w:val="Hyperlink"/>
                </w:rPr>
                <w:t>www.gostinfo.ru</w:t>
              </w:r>
            </w:hyperlink>
            <w:r>
              <w:t xml:space="preserve"> </w:t>
            </w:r>
          </w:p>
        </w:tc>
      </w:tr>
      <w:tr w14:paraId="5C2299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74F3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BA60D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45635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7280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1CA98D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3003, 3004 (Pharmaceuticals)</w:t>
            </w:r>
          </w:p>
        </w:tc>
      </w:tr>
      <w:tr w14:paraId="511461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4BFE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61A0882A" w14:textId="505833C1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Draft amendments to the Decision of the Board of the Eurasian Economic Commission</w:t>
            </w:r>
            <w:r w:rsidR="00811BE2">
              <w:t xml:space="preserve"> </w:t>
            </w:r>
            <w:r w:rsidRPr="00C379C8">
              <w:t>No. 100 of August 11, 2020</w:t>
            </w:r>
            <w:r w:rsidRPr="00C379C8">
              <w:t xml:space="preserve"> (992 page(s), in Russian)</w:t>
            </w:r>
          </w:p>
          <w:p w:rsidR="000C3B6C" w:rsidRPr="000C3B6C" w:rsidP="002F6A28" w14:paraId="6694940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11EA0" w:rsidRPr="00CE6C29" w:rsidP="002F6A28" w14:paraId="6D00C1B6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https://regulation.eaeunion.org/orv/3264/</w:t>
              </w:r>
            </w:hyperlink>
          </w:p>
        </w:tc>
      </w:tr>
      <w:tr w14:paraId="0F8F9D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DFB6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63D32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It is proposed to amend the Pharmacopoeia of the Eurasian Economic Union: to supplement it with general pharmacopoeial monographs on herbal medicinal products and biological</w:t>
            </w:r>
          </w:p>
          <w:p w:rsidR="00FE448B" w:rsidRPr="00C379C8" w:rsidP="002F6A28" w14:paraId="0AA8FA1B" w14:textId="77777777">
            <w:pPr>
              <w:spacing w:before="120" w:after="120"/>
            </w:pPr>
            <w:r w:rsidRPr="00C379C8">
              <w:t>medicinal products, and to adopt new versions of a number of general pharmacopoeial monographs harmonized with the texts of the Pharmacopoeial Discussion Group (PDG).</w:t>
            </w:r>
          </w:p>
        </w:tc>
      </w:tr>
      <w:tr w14:paraId="0BA58A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943A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8901C9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life and health of the patients (as the end users of medicinal products).</w:t>
            </w:r>
            <w:r w:rsidRPr="00C379C8" w:rsidR="00EE3A11">
              <w:br/>
              <w:t>Protection of healthcare institutions in general (as the primary user of medicinal products);</w:t>
            </w:r>
            <w:r w:rsidRPr="00C379C8" w:rsidR="00EE3A11">
              <w:br/>
              <w:t>Protection of the interests of medicinal products' manufacturers.</w:t>
            </w:r>
          </w:p>
        </w:tc>
      </w:tr>
      <w:tr w14:paraId="1F1126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8C5BC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4E5258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5DD613D" w14:textId="77777777">
            <w:pPr>
              <w:spacing w:before="120" w:after="120"/>
            </w:pPr>
            <w:r w:rsidRPr="002F6A28">
              <w:t>The Draft am endm ents to the Decision of the Board of the Eurasian Economic Commission No. 100 of August 11, 2020</w:t>
            </w:r>
          </w:p>
          <w:p w:rsidR="00EE3A11" w:rsidRPr="002F6A28" w:rsidP="007F13E8" w14:paraId="78E86003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https://regulation.eaeunion.org/orv/3264/</w:t>
              </w:r>
            </w:hyperlink>
          </w:p>
          <w:p w:rsidR="00EE3A11" w:rsidRPr="002F6A28" w:rsidP="007F13E8" w14:paraId="05B840CA" w14:textId="77777777">
            <w:pPr>
              <w:spacing w:before="120" w:after="120"/>
            </w:pPr>
            <w:r w:rsidRPr="002F6A28">
              <w:t>The Decision of the Board of the Eurasian Economic Commission No. 100 of August 11, 2020</w:t>
            </w:r>
          </w:p>
          <w:p w:rsidR="00EE3A11" w:rsidRPr="002F6A28" w:rsidP="007F13E8" w14:paraId="089A35DD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https://docs.eaeunion.org/documents/247/5266/</w:t>
              </w:r>
            </w:hyperlink>
          </w:p>
        </w:tc>
      </w:tr>
      <w:tr w14:paraId="4771B4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00911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703AFC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37B978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AC8EA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0234F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5AFB68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0FA3EE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December 2025</w:t>
            </w:r>
          </w:p>
          <w:p w:rsidR="000C3B6C" w:rsidRPr="00E3324D" w:rsidP="000C3B6C" w14:paraId="6B4AC51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E7788D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48DA421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F4F18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29910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2455FB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DFE9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13EF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DBE6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9310F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E2F5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G/TBT/N/RUS/178</w:t>
    </w:r>
    <w:bookmarkEnd w:id="0"/>
  </w:p>
  <w:p w:rsidR="009239F7" w:rsidRPr="002F6A28" w:rsidP="009239F7" w14:paraId="59EA92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FC48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7859C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89F1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7E7A9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330D1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1255FD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4FC631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72EE1B" w14:textId="77777777">
          <w:pPr>
            <w:jc w:val="right"/>
            <w:rPr>
              <w:b/>
              <w:szCs w:val="16"/>
            </w:rPr>
          </w:pPr>
        </w:p>
      </w:tc>
    </w:tr>
    <w:tr w14:paraId="3605413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DAB9B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143A1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G/TBT/N/RUS/178</w:t>
          </w:r>
          <w:bookmarkEnd w:id="2"/>
        </w:p>
      </w:tc>
    </w:tr>
    <w:tr w14:paraId="14B7E41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A307E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72587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December 2025</w:t>
          </w:r>
          <w:bookmarkEnd w:id="3"/>
          <w:bookmarkEnd w:id="4"/>
        </w:p>
      </w:tc>
    </w:tr>
    <w:tr w14:paraId="44EE5BF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B6D6B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(25-8008)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5834C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645C3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749DA4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746E82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D74F4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0222132">
    <w:abstractNumId w:val="9"/>
  </w:num>
  <w:num w:numId="2" w16cid:durableId="683433451">
    <w:abstractNumId w:val="7"/>
  </w:num>
  <w:num w:numId="3" w16cid:durableId="876969755">
    <w:abstractNumId w:val="6"/>
  </w:num>
  <w:num w:numId="4" w16cid:durableId="1594970833">
    <w:abstractNumId w:val="5"/>
  </w:num>
  <w:num w:numId="5" w16cid:durableId="86080646">
    <w:abstractNumId w:val="4"/>
  </w:num>
  <w:num w:numId="6" w16cid:durableId="239828732">
    <w:abstractNumId w:val="12"/>
  </w:num>
  <w:num w:numId="7" w16cid:durableId="17895809">
    <w:abstractNumId w:val="11"/>
  </w:num>
  <w:num w:numId="8" w16cid:durableId="1103920547">
    <w:abstractNumId w:val="10"/>
  </w:num>
  <w:num w:numId="9" w16cid:durableId="17697376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537729">
    <w:abstractNumId w:val="13"/>
  </w:num>
  <w:num w:numId="11" w16cid:durableId="1619335969">
    <w:abstractNumId w:val="8"/>
  </w:num>
  <w:num w:numId="12" w16cid:durableId="227614501">
    <w:abstractNumId w:val="3"/>
  </w:num>
  <w:num w:numId="13" w16cid:durableId="1545211388">
    <w:abstractNumId w:val="2"/>
  </w:num>
  <w:num w:numId="14" w16cid:durableId="277952263">
    <w:abstractNumId w:val="1"/>
  </w:num>
  <w:num w:numId="15" w16cid:durableId="43679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1EA0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46B7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4FFB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1BE2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15A0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67D6D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64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gostinfo.ru" TargetMode="External" /><Relationship Id="rId6" Type="http://schemas.openxmlformats.org/officeDocument/2006/relationships/hyperlink" Target="http://www.gostinfo.ru" TargetMode="External" /><Relationship Id="rId7" Type="http://schemas.openxmlformats.org/officeDocument/2006/relationships/hyperlink" Target="https://regulation.eaeunion.org/orv/3264/" TargetMode="External" /><Relationship Id="rId8" Type="http://schemas.openxmlformats.org/officeDocument/2006/relationships/hyperlink" Target="https://docs.eaeunion.org/documents/247/5266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2025-12-02T07:56:00Z</dcterms:created>
  <dcterms:modified xsi:type="dcterms:W3CDTF">2025-12-02T07:56:00Z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