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1B915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A38D3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6D9CA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7D39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D1F57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5F84F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797D56F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BB84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1428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50CC1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B3757D" w14:textId="77777777">
            <w:r w:rsidRPr="00C379C8">
              <w:t>Uganda National Bureau of Standards</w:t>
            </w:r>
          </w:p>
          <w:p w:rsidR="00EE3A11" w:rsidRPr="00C379C8" w:rsidP="000C3B6C" w14:paraId="70AF0709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A33F4" w:rsidP="000C3B6C" w14:paraId="05ADE12E" w14:textId="77777777">
            <w:pPr>
              <w:rPr>
                <w:lang w:val="es-ES"/>
              </w:rPr>
            </w:pPr>
            <w:r w:rsidRPr="00CA33F4">
              <w:rPr>
                <w:lang w:val="es-ES"/>
              </w:rPr>
              <w:t>P.O. Box 6329</w:t>
            </w:r>
          </w:p>
          <w:p w:rsidR="00EE3A11" w:rsidRPr="00CA33F4" w:rsidP="000C3B6C" w14:paraId="7AA44D64" w14:textId="77777777">
            <w:pPr>
              <w:rPr>
                <w:lang w:val="es-ES"/>
              </w:rPr>
            </w:pPr>
            <w:r w:rsidRPr="00CA33F4">
              <w:rPr>
                <w:lang w:val="es-ES"/>
              </w:rPr>
              <w:t>Kampala, Uganda</w:t>
            </w:r>
          </w:p>
          <w:p w:rsidR="00EE3A11" w:rsidRPr="00CA33F4" w:rsidP="000C3B6C" w14:paraId="0C39F190" w14:textId="77777777">
            <w:pPr>
              <w:rPr>
                <w:lang w:val="es-ES"/>
              </w:rPr>
            </w:pPr>
            <w:r w:rsidRPr="00CA33F4">
              <w:rPr>
                <w:lang w:val="es-ES"/>
              </w:rPr>
              <w:t>Tel: +(256) 4 1733 3250/1/2</w:t>
            </w:r>
          </w:p>
          <w:p w:rsidR="00EE3A11" w:rsidRPr="00CA33F4" w:rsidP="000C3B6C" w14:paraId="25F4DB16" w14:textId="77777777">
            <w:pPr>
              <w:rPr>
                <w:lang w:val="fr-FR"/>
              </w:rPr>
            </w:pPr>
            <w:r w:rsidRPr="00CA33F4">
              <w:rPr>
                <w:lang w:val="fr-FR"/>
              </w:rPr>
              <w:t>Fax: +(256) 4 1428 6123</w:t>
            </w:r>
          </w:p>
          <w:p w:rsidR="00EE3A11" w:rsidRPr="00CA33F4" w:rsidP="000C3B6C" w14:paraId="3D859031" w14:textId="77777777">
            <w:pPr>
              <w:rPr>
                <w:lang w:val="fr-FR"/>
              </w:rPr>
            </w:pPr>
            <w:r w:rsidRPr="00CA33F4">
              <w:rPr>
                <w:lang w:val="fr-FR"/>
              </w:rPr>
              <w:t xml:space="preserve">E-mail: </w:t>
            </w:r>
            <w:hyperlink r:id="rId6" w:history="1">
              <w:r w:rsidRPr="00CA33F4">
                <w:rPr>
                  <w:color w:val="0000FF"/>
                  <w:u w:val="single"/>
                  <w:lang w:val="fr-FR"/>
                </w:rPr>
                <w:t>info@unbs.go.ug</w:t>
              </w:r>
            </w:hyperlink>
          </w:p>
          <w:p w:rsidR="00EE3A11" w:rsidRPr="00C379C8" w:rsidP="000C3B6C" w14:paraId="47F9804A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560FC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D9F8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2340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95AD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D4B5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F474E5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71.100.70); Cosmetic products</w:t>
            </w:r>
          </w:p>
        </w:tc>
      </w:tr>
      <w:tr w14:paraId="51D06D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1FD4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A2478B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1524-3:2025, Cosmetics — Safety of cosmetic products ingredients — Part 3: List of allowed colorants, preservatives and UV-filters, First Edition; (56 page(s), in English)</w:t>
            </w:r>
          </w:p>
          <w:p w:rsidR="000C3B6C" w:rsidRPr="000C3B6C" w:rsidP="002F6A28" w14:paraId="7437E3B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F29B7" w:rsidRPr="00CE6C29" w:rsidP="002F6A28" w14:paraId="1F27B82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https://members.wto.org/crnattachments/2025/TBT/UGA/25_08012_00_e.pdf</w:t>
              </w:r>
            </w:hyperlink>
          </w:p>
        </w:tc>
      </w:tr>
      <w:tr w14:paraId="4D7070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06F1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6D33F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list of colorants, preservatives and UV-filters allowed in cosmetic products.</w:t>
            </w:r>
          </w:p>
        </w:tc>
      </w:tr>
      <w:tr w14:paraId="318EE7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9C18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55E06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Harmonization; Reducing trade barriers and facilitating trade</w:t>
            </w:r>
          </w:p>
        </w:tc>
      </w:tr>
      <w:tr w14:paraId="507F01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CA33F4" w14:paraId="52632E8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CA33F4" w14:paraId="41FCF84A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CA33F4" w14:paraId="20CE036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CDARS</w:t>
            </w:r>
            <w:r w:rsidRPr="002F6A28">
              <w:t>/TC 40/003-2, — Safety of cosmetic products ingredients — Part 2: List of substances which cosmetic products must not contain except subject to the restrictions laid down</w:t>
            </w:r>
          </w:p>
          <w:p w:rsidR="00EE3A11" w:rsidRPr="002F6A28" w:rsidP="00CA33F4" w14:paraId="1A655C1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2022/135 of 31 January 2022 amending Regulation (EC) No 1223/2009 of the European Parliament and of the Council as regards the use of Methyl-N-</w:t>
            </w:r>
            <w:r w:rsidRPr="002F6A28">
              <w:t>methylanthranilate</w:t>
            </w:r>
            <w:r w:rsidRPr="002F6A28">
              <w:t xml:space="preserve"> in cosmetic products</w:t>
            </w:r>
          </w:p>
          <w:p w:rsidR="00EE3A11" w:rsidRPr="002F6A28" w:rsidP="00CA33F4" w14:paraId="3D899CE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2021/1902 of 29 October 2021 amending Annexes II, III and V to Regulation (EC) No 1223/2009 of the European Parliament and of the Council as regards the use in cosmetic products of certain substances classified as carcinogenic, mutagenic or toxic for reproduction</w:t>
            </w:r>
          </w:p>
          <w:p w:rsidR="00EE3A11" w:rsidRPr="002F6A28" w:rsidP="00CA33F4" w14:paraId="6354B0D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2021/1099 of 5 July 2021 amending Annexes II and III to Regulation (EC) No 1223/2009 of the European Parliament and of the Council on cosmetic products</w:t>
            </w:r>
          </w:p>
          <w:p w:rsidR="00EE3A11" w:rsidRPr="002F6A28" w:rsidP="00CA33F4" w14:paraId="4310218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2021/850 of 26 May 2021 amending and correcting Annexes II and amending Annexes III, IV and VI</w:t>
            </w:r>
          </w:p>
          <w:p w:rsidR="00EE3A11" w:rsidRPr="002F6A28" w:rsidP="00CA33F4" w14:paraId="5CE355E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Corrigendum to Commission Regulation (EU) 2021/1099 of 5 July 2021 amending Annexes II and III to Regulation (EC) No 1223/2009 of the European Parliament and of the Council on cosmetic products</w:t>
            </w:r>
          </w:p>
          <w:p w:rsidR="00EE3A11" w:rsidRPr="002F6A28" w:rsidP="00CA33F4" w14:paraId="1863E75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Corrigendum to Commission Regulation (EU) 2021/850 of 26 May 2021 amending and correcting Annex II and amending Annexes III, IV and VI to Regulation (EC) No 1223/2009 of the European Parliament and of the Council on cosmetic products</w:t>
            </w:r>
          </w:p>
          <w:p w:rsidR="00EE3A11" w:rsidRPr="002F6A28" w:rsidP="00CA33F4" w14:paraId="4BAF060A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Corrigendum to Commission Regulation (EU) 2020/1683 of 12 November 2020 amending Annexes II and III</w:t>
            </w:r>
          </w:p>
          <w:p w:rsidR="00EE3A11" w:rsidRPr="002F6A28" w:rsidP="00CA33F4" w14:paraId="14879D2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2020/1683 of 12 November 2020 amending Annexes II and III 4. Corrigendum to Commission Regulation (EU) 2019/1966 of 27 November 2019 amending and correcting Annexes II, III and V</w:t>
            </w:r>
          </w:p>
          <w:p w:rsidR="00EE3A11" w:rsidRPr="002F6A28" w:rsidP="00CA33F4" w14:paraId="31A3B941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2019/1966 of 27 November 2019 amending Annexes II, III and V</w:t>
            </w:r>
          </w:p>
          <w:p w:rsidR="00EE3A11" w:rsidRPr="002F6A28" w:rsidP="00CA33F4" w14:paraId="7106CA47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2019/831 of 22 May 2019 amending Annexes II, III and V</w:t>
            </w:r>
          </w:p>
          <w:p w:rsidR="00EE3A11" w:rsidRPr="002F6A28" w:rsidP="00CA33F4" w14:paraId="2C8AF39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2019/681 of 30 April 2019 amending Annex II</w:t>
            </w:r>
          </w:p>
          <w:p w:rsidR="00EE3A11" w:rsidRPr="002F6A28" w:rsidP="00CA33F4" w14:paraId="69AEB93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Corrigendum to Commission Regulation (EU) 2018/978 of 9 July 2018 amending Annexes II and III</w:t>
            </w:r>
          </w:p>
          <w:p w:rsidR="00EE3A11" w:rsidRPr="002F6A28" w:rsidP="00CA33F4" w14:paraId="6F03A3DB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2018/978 of 9 July 2018 amending Annexes II and III</w:t>
            </w:r>
          </w:p>
          <w:p w:rsidR="00EE3A11" w:rsidRPr="002F6A28" w:rsidP="00CA33F4" w14:paraId="79B1E996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2017/1410 of 2 August amending Annexes II and III</w:t>
            </w:r>
          </w:p>
          <w:p w:rsidR="00EE3A11" w:rsidRPr="002F6A28" w:rsidP="00CA33F4" w14:paraId="395B286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2015/1298 of 28 July amending Annexes II and VI</w:t>
            </w:r>
          </w:p>
          <w:p w:rsidR="00EE3A11" w:rsidRPr="002F6A28" w:rsidP="00CA33F4" w14:paraId="79293268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Commission Regulation (EU) No 358/2014 of 9 April 2014 amending annexes </w:t>
            </w:r>
            <w:r w:rsidRPr="002F6A28">
              <w:rPr>
                <w:rFonts w:ascii="MS UI Gothic" w:eastAsia="MS UI Gothic" w:hAnsi="MS UI Gothic" w:cs="MS UI Gothic"/>
              </w:rPr>
              <w:t>Ⅱ</w:t>
            </w:r>
            <w:r w:rsidRPr="002F6A28">
              <w:t xml:space="preserve"> and </w:t>
            </w:r>
            <w:r w:rsidRPr="002F6A28">
              <w:rPr>
                <w:rFonts w:ascii="MS UI Gothic" w:eastAsia="MS UI Gothic" w:hAnsi="MS UI Gothic" w:cs="MS UI Gothic"/>
              </w:rPr>
              <w:t>Ⅴ</w:t>
            </w:r>
          </w:p>
          <w:p w:rsidR="00EE3A11" w:rsidRPr="002F6A28" w:rsidP="00CA33F4" w14:paraId="3C7FB4D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Commission Regulation (EU) No 658/2013 of 10 July 2013 amending Annexes </w:t>
            </w:r>
            <w:r w:rsidRPr="002F6A28">
              <w:rPr>
                <w:rFonts w:ascii="MS UI Gothic" w:eastAsia="MS UI Gothic" w:hAnsi="MS UI Gothic" w:cs="MS UI Gothic"/>
              </w:rPr>
              <w:t>Ⅱ</w:t>
            </w:r>
            <w:r w:rsidRPr="002F6A28">
              <w:t xml:space="preserve"> and </w:t>
            </w:r>
            <w:r w:rsidRPr="002F6A28">
              <w:rPr>
                <w:rFonts w:ascii="MS UI Gothic" w:eastAsia="MS UI Gothic" w:hAnsi="MS UI Gothic" w:cs="MS UI Gothic"/>
              </w:rPr>
              <w:t>Ⅲ</w:t>
            </w:r>
          </w:p>
          <w:p w:rsidR="00EE3A11" w:rsidRPr="002F6A28" w:rsidP="00CA33F4" w14:paraId="0A48ABA4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Commission Regulation (EU) No 344/2013 of 4 April 2013 amending Annexes</w:t>
            </w:r>
          </w:p>
          <w:p w:rsidR="00EE3A11" w:rsidRPr="002F6A28" w:rsidP="00CA33F4" w14:paraId="20ED73C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Regulation (EC) No. 1223/2009 of the European Parliament and of the Council of 30th November 2009 on cosmetic products</w:t>
            </w:r>
          </w:p>
        </w:tc>
      </w:tr>
      <w:tr w14:paraId="5CB38B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CA33F4" w14:paraId="3359B5D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CA33F4" w14:paraId="13A27EF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CA33F4" w14:paraId="5BEE36A7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64F2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CA33F4" w14:paraId="6F08BBE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CA33F4" w14:paraId="3D1C7B7C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CA33F4" w14:paraId="08BA084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January 2026</w:t>
            </w:r>
          </w:p>
          <w:p w:rsidR="000C3B6C" w:rsidRPr="00E3324D" w:rsidP="00CA33F4" w14:paraId="63DD8461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CA33F4" w14:paraId="442C7A98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CA33F4" w14:paraId="7967EEA2" w14:textId="77777777">
            <w:pPr>
              <w:keepNext/>
              <w:keepLines/>
            </w:pPr>
            <w:r w:rsidRPr="00CE6C29">
              <w:t>Uganda National Bureau of Standards</w:t>
            </w:r>
          </w:p>
          <w:p w:rsidR="00CE6C29" w:rsidRPr="00CE6C29" w:rsidP="00CA33F4" w14:paraId="233ABFC1" w14:textId="77777777">
            <w:pPr>
              <w:keepNext/>
              <w:keepLines/>
            </w:pPr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CA33F4" w:rsidP="00CA33F4" w14:paraId="1FDB0F2E" w14:textId="77777777">
            <w:pPr>
              <w:keepNext/>
              <w:keepLines/>
              <w:rPr>
                <w:lang w:val="es-ES"/>
              </w:rPr>
            </w:pPr>
            <w:r w:rsidRPr="00CA33F4">
              <w:rPr>
                <w:lang w:val="es-ES"/>
              </w:rPr>
              <w:t>P.O. Box 6329</w:t>
            </w:r>
          </w:p>
          <w:p w:rsidR="00CE6C29" w:rsidRPr="00CA33F4" w:rsidP="00CA33F4" w14:paraId="31E216CD" w14:textId="77777777">
            <w:pPr>
              <w:keepNext/>
              <w:keepLines/>
              <w:rPr>
                <w:lang w:val="es-ES"/>
              </w:rPr>
            </w:pPr>
            <w:r w:rsidRPr="00CA33F4">
              <w:rPr>
                <w:lang w:val="es-ES"/>
              </w:rPr>
              <w:t>Kampala, Uganda</w:t>
            </w:r>
          </w:p>
          <w:p w:rsidR="00CE6C29" w:rsidRPr="00CA33F4" w:rsidP="00CA33F4" w14:paraId="49918E10" w14:textId="77777777">
            <w:pPr>
              <w:keepNext/>
              <w:keepLines/>
              <w:rPr>
                <w:lang w:val="es-ES"/>
              </w:rPr>
            </w:pPr>
            <w:r w:rsidRPr="00CA33F4">
              <w:rPr>
                <w:lang w:val="es-ES"/>
              </w:rPr>
              <w:t>Tel: +(256) 4 1733 3250/1/2</w:t>
            </w:r>
          </w:p>
          <w:p w:rsidR="00CE6C29" w:rsidRPr="00CA33F4" w:rsidP="00CA33F4" w14:paraId="7003E29D" w14:textId="77777777">
            <w:pPr>
              <w:keepNext/>
              <w:keepLines/>
              <w:rPr>
                <w:lang w:val="fr-FR"/>
              </w:rPr>
            </w:pPr>
            <w:r w:rsidRPr="00CA33F4">
              <w:rPr>
                <w:lang w:val="fr-FR"/>
              </w:rPr>
              <w:t>Fax: +(256) 4 1428 6123</w:t>
            </w:r>
          </w:p>
          <w:p w:rsidR="00CE6C29" w:rsidRPr="00CA33F4" w:rsidP="00CA33F4" w14:paraId="601982F7" w14:textId="77777777">
            <w:pPr>
              <w:keepNext/>
              <w:keepLines/>
              <w:rPr>
                <w:lang w:val="fr-FR"/>
              </w:rPr>
            </w:pPr>
            <w:r w:rsidRPr="00CA33F4">
              <w:rPr>
                <w:lang w:val="fr-FR"/>
              </w:rPr>
              <w:t xml:space="preserve">E-mail: </w:t>
            </w:r>
            <w:hyperlink r:id="rId6" w:history="1">
              <w:r w:rsidRPr="00CA33F4">
                <w:rPr>
                  <w:color w:val="0000FF"/>
                  <w:u w:val="single"/>
                  <w:lang w:val="fr-FR"/>
                </w:rPr>
                <w:t>info@unbs.go.ug</w:t>
              </w:r>
            </w:hyperlink>
          </w:p>
          <w:p w:rsidR="00CE6C29" w:rsidRPr="00CE6C29" w:rsidP="00CA33F4" w14:paraId="4DC22727" w14:textId="77777777">
            <w:pPr>
              <w:keepNext/>
              <w:keepLines/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7C3E1C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DD464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F5716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7210A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7CCF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B3A76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D57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5081C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660F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G/TBT/N/UGA/2268</w:t>
    </w:r>
    <w:bookmarkEnd w:id="0"/>
  </w:p>
  <w:p w:rsidR="009239F7" w:rsidRPr="002F6A28" w:rsidP="009239F7" w14:paraId="34601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92F0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42B5D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CD2B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0FD19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E809D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BCB73A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0618A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EBC402" w14:textId="77777777">
          <w:pPr>
            <w:jc w:val="right"/>
            <w:rPr>
              <w:b/>
              <w:szCs w:val="16"/>
            </w:rPr>
          </w:pPr>
        </w:p>
      </w:tc>
    </w:tr>
    <w:tr w14:paraId="42473C5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721330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FAF471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G/TBT/N/UGA/2268</w:t>
          </w:r>
          <w:bookmarkEnd w:id="2"/>
        </w:p>
      </w:tc>
    </w:tr>
    <w:tr w14:paraId="05C1242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E36A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80D6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November 2025</w:t>
          </w:r>
          <w:bookmarkEnd w:id="3"/>
          <w:bookmarkEnd w:id="4"/>
        </w:p>
      </w:tc>
    </w:tr>
    <w:tr w14:paraId="44CB38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94A38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(25-7650)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52C7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1C83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4C8C5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B1C69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FCB7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1781073">
    <w:abstractNumId w:val="9"/>
  </w:num>
  <w:num w:numId="2" w16cid:durableId="324361608">
    <w:abstractNumId w:val="7"/>
  </w:num>
  <w:num w:numId="3" w16cid:durableId="881985837">
    <w:abstractNumId w:val="6"/>
  </w:num>
  <w:num w:numId="4" w16cid:durableId="604077542">
    <w:abstractNumId w:val="5"/>
  </w:num>
  <w:num w:numId="5" w16cid:durableId="1996716292">
    <w:abstractNumId w:val="4"/>
  </w:num>
  <w:num w:numId="6" w16cid:durableId="1178230094">
    <w:abstractNumId w:val="12"/>
  </w:num>
  <w:num w:numId="7" w16cid:durableId="1003900604">
    <w:abstractNumId w:val="11"/>
  </w:num>
  <w:num w:numId="8" w16cid:durableId="949436245">
    <w:abstractNumId w:val="10"/>
  </w:num>
  <w:num w:numId="9" w16cid:durableId="400758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2432559">
    <w:abstractNumId w:val="13"/>
  </w:num>
  <w:num w:numId="11" w16cid:durableId="559677866">
    <w:abstractNumId w:val="8"/>
  </w:num>
  <w:num w:numId="12" w16cid:durableId="248000597">
    <w:abstractNumId w:val="3"/>
  </w:num>
  <w:num w:numId="13" w16cid:durableId="1652053446">
    <w:abstractNumId w:val="2"/>
  </w:num>
  <w:num w:numId="14" w16cid:durableId="14431277">
    <w:abstractNumId w:val="1"/>
  </w:num>
  <w:num w:numId="15" w16cid:durableId="1384211851">
    <w:abstractNumId w:val="0"/>
  </w:num>
  <w:num w:numId="16" w16cid:durableId="18690262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902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679C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29B7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075DF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3F4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00D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C1193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801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49239C-F6CD-4C7F-881F-A4240254832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2025-11-18T11:41:00Z</dcterms:created>
  <dcterms:modified xsi:type="dcterms:W3CDTF">2025-11-18T11:47:00Z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