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02DD872" w14:textId="77777777">
      <w:pPr>
        <w:pStyle w:val="Title"/>
        <w:rPr>
          <w:caps w:val="0"/>
          <w:kern w:val="0"/>
        </w:rPr>
      </w:pPr>
      <w:r w:rsidRPr="002F6A28">
        <w:rPr>
          <w:caps w:val="0"/>
          <w:kern w:val="0"/>
        </w:rPr>
        <w:t>NOTIFICATION</w:t>
      </w:r>
    </w:p>
    <w:p w:rsidR="009239F7" w:rsidRPr="002F6A28" w:rsidP="002F6A28" w14:paraId="09D560D0" w14:textId="77777777">
      <w:pPr>
        <w:jc w:val="center"/>
      </w:pPr>
      <w:r w:rsidRPr="002F6A28">
        <w:t>The following notification is being circulated in accordance with Article 10.6</w:t>
      </w:r>
    </w:p>
    <w:p w:rsidR="009239F7" w:rsidRPr="002F6A28" w:rsidP="002F6A28" w14:paraId="59EFC568"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0C93CE3B" w14:textId="77777777" w:rsidTr="00DB13FE">
        <w:tblPrEx>
          <w:tblW w:w="5000" w:type="pct"/>
          <w:tblLayout w:type="fixed"/>
          <w:tblLook w:val="0000"/>
        </w:tblPrEx>
        <w:tc>
          <w:tcPr>
            <w:tcW w:w="607" w:type="dxa"/>
            <w:tcBorders>
              <w:top w:val="double" w:sz="4" w:space="0" w:color="auto"/>
            </w:tcBorders>
          </w:tcPr>
          <w:p w:rsidR="00F85C99" w:rsidRPr="002F6A28" w:rsidP="002F6A28" w14:paraId="5E75094F" w14:textId="77777777">
            <w:pPr>
              <w:spacing w:before="120" w:after="120"/>
              <w:jc w:val="left"/>
            </w:pPr>
            <w:r w:rsidRPr="002F6A28">
              <w:rPr>
                <w:b/>
              </w:rPr>
              <w:t>1.</w:t>
            </w:r>
          </w:p>
        </w:tc>
        <w:tc>
          <w:tcPr>
            <w:tcW w:w="8373" w:type="dxa"/>
            <w:tcBorders>
              <w:top w:val="double" w:sz="4" w:space="0" w:color="auto"/>
            </w:tcBorders>
          </w:tcPr>
          <w:p w:rsidR="00F85C99" w:rsidRPr="002F6A28" w:rsidP="00C805B6" w14:paraId="4AF3166E" w14:textId="77777777">
            <w:pPr>
              <w:spacing w:before="120" w:after="120"/>
            </w:pPr>
            <w:r w:rsidRPr="002F6A28">
              <w:rPr>
                <w:b/>
              </w:rPr>
              <w:t>Notifying Member:</w:t>
            </w:r>
            <w:r w:rsidRPr="00C92678" w:rsidR="00EE3A11">
              <w:t xml:space="preserve"> </w:t>
            </w:r>
            <w:r w:rsidRPr="00C92678" w:rsidR="00EE3A11">
              <w:rPr>
                <w:u w:val="single"/>
              </w:rPr>
              <w:t>RUSSIAN FEDERATION</w:t>
            </w:r>
          </w:p>
          <w:p w:rsidR="00F85C99" w:rsidRPr="002F6A28" w:rsidP="002F6A28" w14:paraId="6AB06807"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74E6ADA2" w14:textId="77777777" w:rsidTr="00DB13FE">
        <w:tblPrEx>
          <w:tblW w:w="5000" w:type="pct"/>
          <w:tblLayout w:type="fixed"/>
          <w:tblLook w:val="0000"/>
        </w:tblPrEx>
        <w:tc>
          <w:tcPr>
            <w:tcW w:w="607" w:type="dxa"/>
          </w:tcPr>
          <w:p w:rsidR="00F85C99" w:rsidRPr="002F6A28" w:rsidP="002F6A28" w14:paraId="1D5B6050" w14:textId="77777777">
            <w:pPr>
              <w:spacing w:before="120" w:after="120"/>
              <w:jc w:val="left"/>
            </w:pPr>
            <w:r w:rsidRPr="002F6A28">
              <w:rPr>
                <w:b/>
              </w:rPr>
              <w:t>2.</w:t>
            </w:r>
          </w:p>
        </w:tc>
        <w:tc>
          <w:tcPr>
            <w:tcW w:w="8373" w:type="dxa"/>
          </w:tcPr>
          <w:p w:rsidR="00F85C99" w:rsidRPr="002F6A28" w:rsidP="000C3B6C" w14:paraId="558A9D5A" w14:textId="77777777">
            <w:pPr>
              <w:spacing w:before="120" w:after="120"/>
            </w:pPr>
            <w:r w:rsidRPr="002F6A28">
              <w:rPr>
                <w:b/>
              </w:rPr>
              <w:t>Agency responsible:</w:t>
            </w:r>
            <w:r w:rsidRPr="00C379C8" w:rsidR="00EE3A11">
              <w:t xml:space="preserve"> </w:t>
            </w:r>
          </w:p>
          <w:p w:rsidR="00EE3A11" w:rsidRPr="00C379C8" w:rsidP="000C3B6C" w14:paraId="41C359B1" w14:textId="77777777">
            <w:r w:rsidRPr="00C379C8">
              <w:t>Russian Scientific and Technical Center for Information on Standardization, Metrology and Conformity Assessment (Standartinform, National enquiry point for the TBT Agreement)</w:t>
            </w:r>
          </w:p>
          <w:p w:rsidR="00EE3A11" w:rsidRPr="00C379C8" w:rsidP="000C3B6C" w14:paraId="7E54A686" w14:textId="77777777">
            <w:r w:rsidRPr="00C379C8">
              <w:t>Tel: +7(495) 531-26-59</w:t>
            </w:r>
          </w:p>
          <w:p w:rsidR="00EE3A11" w:rsidRPr="00C379C8" w:rsidP="000C3B6C" w14:paraId="108570F9" w14:textId="77777777">
            <w:r w:rsidRPr="00C379C8">
              <w:t xml:space="preserve">E-mail: </w:t>
            </w:r>
            <w:hyperlink r:id="rId5" w:history="1">
              <w:r w:rsidRPr="00C379C8">
                <w:rPr>
                  <w:color w:val="0000FF"/>
                  <w:u w:val="single"/>
                </w:rPr>
                <w:t>info@gostinfo.ru</w:t>
              </w:r>
            </w:hyperlink>
          </w:p>
          <w:p w:rsidR="00EE3A11" w:rsidRPr="00C379C8" w:rsidP="000C3B6C" w14:paraId="6A4BB188" w14:textId="77777777">
            <w:pPr>
              <w:spacing w:after="120"/>
            </w:pPr>
            <w:r w:rsidRPr="00C379C8">
              <w:t>Website: www.gostinfo.ru</w:t>
            </w:r>
          </w:p>
        </w:tc>
      </w:tr>
      <w:tr w14:paraId="66CF51E1" w14:textId="77777777" w:rsidTr="00DB13FE">
        <w:tblPrEx>
          <w:tblW w:w="5000" w:type="pct"/>
          <w:tblLayout w:type="fixed"/>
          <w:tblLook w:val="0000"/>
        </w:tblPrEx>
        <w:tc>
          <w:tcPr>
            <w:tcW w:w="607" w:type="dxa"/>
          </w:tcPr>
          <w:p w:rsidR="00F85C99" w:rsidRPr="002F6A28" w:rsidP="002F6A28" w14:paraId="50A00A06" w14:textId="77777777">
            <w:pPr>
              <w:spacing w:before="120" w:after="120"/>
              <w:jc w:val="left"/>
              <w:rPr>
                <w:b/>
              </w:rPr>
            </w:pPr>
            <w:r w:rsidRPr="002F6A28">
              <w:rPr>
                <w:b/>
              </w:rPr>
              <w:t>3.</w:t>
            </w:r>
          </w:p>
        </w:tc>
        <w:tc>
          <w:tcPr>
            <w:tcW w:w="8373" w:type="dxa"/>
          </w:tcPr>
          <w:p w:rsidR="00F85C99" w:rsidRPr="0058336F" w:rsidP="002F6A28" w14:paraId="26AD70DB"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1D7EAD7" w14:textId="77777777" w:rsidTr="00DB13FE">
        <w:tblPrEx>
          <w:tblW w:w="5000" w:type="pct"/>
          <w:tblLayout w:type="fixed"/>
          <w:tblLook w:val="0000"/>
        </w:tblPrEx>
        <w:tc>
          <w:tcPr>
            <w:tcW w:w="607" w:type="dxa"/>
          </w:tcPr>
          <w:p w:rsidR="00F85C99" w:rsidRPr="002F6A28" w:rsidP="002F6A28" w14:paraId="3A851A27" w14:textId="77777777">
            <w:pPr>
              <w:spacing w:before="120" w:after="120"/>
              <w:jc w:val="left"/>
            </w:pPr>
            <w:r w:rsidRPr="002F6A28">
              <w:rPr>
                <w:b/>
              </w:rPr>
              <w:t>4.</w:t>
            </w:r>
          </w:p>
        </w:tc>
        <w:tc>
          <w:tcPr>
            <w:tcW w:w="8373" w:type="dxa"/>
          </w:tcPr>
          <w:p w:rsidR="00F85C99" w:rsidRPr="002F6A28" w:rsidP="002F6A28" w14:paraId="1F4915D9"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HS Code(s): 3003, 3004 (Pharmaceuticals)</w:t>
            </w:r>
          </w:p>
        </w:tc>
      </w:tr>
      <w:tr w14:paraId="1C724523" w14:textId="77777777" w:rsidTr="00DB13FE">
        <w:tblPrEx>
          <w:tblW w:w="5000" w:type="pct"/>
          <w:tblLayout w:type="fixed"/>
          <w:tblLook w:val="0000"/>
        </w:tblPrEx>
        <w:tc>
          <w:tcPr>
            <w:tcW w:w="607" w:type="dxa"/>
          </w:tcPr>
          <w:p w:rsidR="00F85C99" w:rsidRPr="002F6A28" w:rsidP="002F6A28" w14:paraId="63591F1B" w14:textId="77777777">
            <w:pPr>
              <w:spacing w:before="120" w:after="120"/>
              <w:jc w:val="left"/>
            </w:pPr>
            <w:r w:rsidRPr="002F6A28">
              <w:rPr>
                <w:b/>
              </w:rPr>
              <w:t>5.</w:t>
            </w:r>
          </w:p>
        </w:tc>
        <w:tc>
          <w:tcPr>
            <w:tcW w:w="8373" w:type="dxa"/>
          </w:tcPr>
          <w:p w:rsidR="00F85C99" w:rsidP="002F6A28" w14:paraId="6D0B4950"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Draft amendments to the Rules of Good Manufacturing Practice in the Eurasian Economic Union; (143 page(s), in Russian)</w:t>
            </w:r>
          </w:p>
          <w:p w:rsidR="000C3B6C" w:rsidRPr="000C3B6C" w:rsidP="002F6A28" w14:paraId="6508819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862F83" w:rsidRPr="00CE6C29" w:rsidP="002F6A28" w14:paraId="12605DB1" w14:textId="77777777">
            <w:pPr>
              <w:rPr>
                <w:iCs/>
              </w:rPr>
            </w:pPr>
            <w:r w:rsidRPr="00CE6C29">
              <w:rPr>
                <w:iCs/>
              </w:rPr>
              <w:t>Eurasian Economic Commission</w:t>
            </w:r>
          </w:p>
          <w:p w:rsidR="00862F83" w:rsidRPr="00CE6C29" w:rsidP="002F6A28" w14:paraId="15F70EFE" w14:textId="77777777">
            <w:pPr>
              <w:rPr>
                <w:iCs/>
              </w:rPr>
            </w:pPr>
            <w:r w:rsidRPr="00CE6C29">
              <w:rPr>
                <w:iCs/>
              </w:rPr>
              <w:t>Department for Technical Regulation and Accreditation</w:t>
            </w:r>
          </w:p>
          <w:p w:rsidR="00862F83" w:rsidRPr="00CE6C29" w:rsidP="002F6A28" w14:paraId="4206E8E3" w14:textId="77777777">
            <w:pPr>
              <w:rPr>
                <w:iCs/>
              </w:rPr>
            </w:pPr>
            <w:r w:rsidRPr="00CE6C29">
              <w:rPr>
                <w:iCs/>
              </w:rPr>
              <w:t>Tel: +7(495)669-24-00</w:t>
            </w:r>
          </w:p>
          <w:p w:rsidR="00862F83" w:rsidRPr="00CE6C29" w:rsidP="002F6A28" w14:paraId="1E21124D" w14:textId="77777777">
            <w:pPr>
              <w:rPr>
                <w:iCs/>
              </w:rPr>
            </w:pPr>
            <w:r w:rsidRPr="00CE6C29">
              <w:rPr>
                <w:iCs/>
              </w:rPr>
              <w:t>Fax: +7(495)669-24-15</w:t>
            </w:r>
          </w:p>
          <w:p w:rsidR="00862F83" w:rsidRPr="00CE6C29" w:rsidP="002F6A28" w14:paraId="75C7D289" w14:textId="77777777">
            <w:pPr>
              <w:rPr>
                <w:iCs/>
              </w:rPr>
            </w:pPr>
            <w:r w:rsidRPr="00CE6C29">
              <w:rPr>
                <w:iCs/>
              </w:rPr>
              <w:t xml:space="preserve">E-mail: </w:t>
            </w:r>
            <w:hyperlink r:id="rId6" w:history="1">
              <w:r w:rsidRPr="00CE6C29">
                <w:rPr>
                  <w:iCs/>
                  <w:color w:val="0000FF"/>
                  <w:u w:val="single"/>
                </w:rPr>
                <w:t>dept_techregulation@eurasiancommission.org</w:t>
              </w:r>
            </w:hyperlink>
          </w:p>
          <w:p w:rsidR="00862F83" w:rsidRPr="00CE6C29" w:rsidP="002F6A28" w14:paraId="0DE4C550" w14:textId="77777777">
            <w:pPr>
              <w:spacing w:after="120"/>
              <w:rPr>
                <w:iCs/>
              </w:rPr>
            </w:pPr>
            <w:r w:rsidRPr="00CE6C29">
              <w:rPr>
                <w:iCs/>
              </w:rPr>
              <w:t>Website: www.eurasiancommission.org</w:t>
            </w:r>
          </w:p>
        </w:tc>
      </w:tr>
      <w:tr w14:paraId="42A95D07" w14:textId="77777777" w:rsidTr="00DB13FE">
        <w:tblPrEx>
          <w:tblW w:w="5000" w:type="pct"/>
          <w:tblLayout w:type="fixed"/>
          <w:tblLook w:val="0000"/>
        </w:tblPrEx>
        <w:tc>
          <w:tcPr>
            <w:tcW w:w="607" w:type="dxa"/>
          </w:tcPr>
          <w:p w:rsidR="00F85C99" w:rsidRPr="002F6A28" w:rsidP="002F6A28" w14:paraId="66D31698" w14:textId="77777777">
            <w:pPr>
              <w:spacing w:before="120" w:after="120"/>
              <w:jc w:val="left"/>
              <w:rPr>
                <w:b/>
              </w:rPr>
            </w:pPr>
            <w:r w:rsidRPr="002F6A28">
              <w:rPr>
                <w:b/>
              </w:rPr>
              <w:t>6.</w:t>
            </w:r>
          </w:p>
        </w:tc>
        <w:tc>
          <w:tcPr>
            <w:tcW w:w="8373" w:type="dxa"/>
          </w:tcPr>
          <w:p w:rsidR="00F85C99" w:rsidRPr="002F6A28" w:rsidP="002F6A28" w14:paraId="4B16BEFA" w14:textId="77777777">
            <w:pPr>
              <w:spacing w:before="120" w:after="120"/>
              <w:rPr>
                <w:b/>
              </w:rPr>
            </w:pPr>
            <w:r w:rsidRPr="002F6A28">
              <w:rPr>
                <w:b/>
              </w:rPr>
              <w:t>Description of content:</w:t>
            </w:r>
            <w:r w:rsidRPr="00C379C8" w:rsidR="00FE448B">
              <w:t xml:space="preserve"> Supplementation of the Rules of Good Manufacturing Practice with Requirements for the production of high-tech medicines harmonized with the current version of the Rules of Good Manufacturing Practice of the European Union and relevant international standards to ensure stable quality of the production process of the specified group of drugs in order to promptly identify deviations in the production process, as a result of which the finished product will be recognized as substandard.</w:t>
            </w:r>
          </w:p>
        </w:tc>
      </w:tr>
      <w:tr w14:paraId="72888978" w14:textId="77777777" w:rsidTr="00DB13FE">
        <w:tblPrEx>
          <w:tblW w:w="5000" w:type="pct"/>
          <w:tblLayout w:type="fixed"/>
          <w:tblLook w:val="0000"/>
        </w:tblPrEx>
        <w:tc>
          <w:tcPr>
            <w:tcW w:w="607" w:type="dxa"/>
          </w:tcPr>
          <w:p w:rsidR="00F85C99" w:rsidRPr="002F6A28" w:rsidP="002F6A28" w14:paraId="7662B812" w14:textId="77777777">
            <w:pPr>
              <w:spacing w:before="120" w:after="120"/>
              <w:jc w:val="left"/>
              <w:rPr>
                <w:b/>
              </w:rPr>
            </w:pPr>
            <w:r w:rsidRPr="002F6A28">
              <w:rPr>
                <w:b/>
              </w:rPr>
              <w:t>7.</w:t>
            </w:r>
          </w:p>
        </w:tc>
        <w:tc>
          <w:tcPr>
            <w:tcW w:w="8373" w:type="dxa"/>
          </w:tcPr>
          <w:p w:rsidR="007F318A" w:rsidP="002F6A28" w14:paraId="7982E2F3" w14:textId="77777777">
            <w:pPr>
              <w:spacing w:before="120" w:after="120"/>
              <w:rPr>
                <w:b/>
              </w:rPr>
            </w:pPr>
            <w:r w:rsidRPr="002F6A28">
              <w:rPr>
                <w:b/>
              </w:rPr>
              <w:t>Objective and rationale, including the nature of urgent problems where applicable:</w:t>
            </w:r>
          </w:p>
          <w:p w:rsidR="00F85C99" w:rsidRPr="002F6A28" w:rsidP="002F6A28" w14:paraId="443C8546" w14:textId="212A942A">
            <w:pPr>
              <w:spacing w:before="120" w:after="120"/>
              <w:rPr>
                <w:b/>
              </w:rPr>
            </w:pPr>
            <w:r w:rsidRPr="00C379C8">
              <w:t xml:space="preserve"> - Protecting the life and health of a patient (as the end user of medicines);</w:t>
            </w:r>
          </w:p>
          <w:p w:rsidR="00EE3A11" w:rsidRPr="00C379C8" w:rsidP="002F6A28" w14:paraId="60D19649" w14:textId="77777777">
            <w:pPr>
              <w:spacing w:before="120" w:after="120"/>
            </w:pPr>
            <w:r w:rsidRPr="00C379C8">
              <w:t>- protecting the interests of the healthcare system;</w:t>
            </w:r>
          </w:p>
          <w:p w:rsidR="00EE3A11" w:rsidRPr="00C379C8" w:rsidP="002F6A28" w14:paraId="637F4FC6" w14:textId="77777777">
            <w:pPr>
              <w:spacing w:before="120" w:after="120"/>
            </w:pPr>
            <w:r w:rsidRPr="00C379C8">
              <w:t>- protection of the interests of manufacturers of high-tech human medicines and manufacturers of similar groups of veterinary medicines;</w:t>
            </w:r>
          </w:p>
          <w:p w:rsidR="00EE3A11" w:rsidRPr="00C379C8" w:rsidP="002F6A28" w14:paraId="2624564B" w14:textId="77777777">
            <w:pPr>
              <w:spacing w:before="120" w:after="120"/>
            </w:pPr>
            <w:r w:rsidRPr="00C379C8">
              <w:t>- protection of the interests of pharmaceutical inspectorates of the Eurasian Economic Union Member States conducting pharmaceutical inspections;</w:t>
            </w:r>
          </w:p>
          <w:p w:rsidR="00EE3A11" w:rsidRPr="00C379C8" w:rsidP="002F6A28" w14:paraId="5B0F3C48" w14:textId="77777777">
            <w:pPr>
              <w:spacing w:before="120" w:after="120"/>
            </w:pPr>
            <w:r w:rsidRPr="00C379C8">
              <w:t>- protection of the interests of authorized bodies (expert organizations) that perform the procedure for assessment of the module 3 registration dossier of a medicines from the position of proving its safety and compliance with a given quality standard, the best effectiveness and a favorable benefit-risk profile</w:t>
            </w:r>
          </w:p>
        </w:tc>
      </w:tr>
      <w:tr w14:paraId="7BBC658F" w14:textId="77777777" w:rsidTr="00DB13FE">
        <w:tblPrEx>
          <w:tblW w:w="5000" w:type="pct"/>
          <w:tblLayout w:type="fixed"/>
          <w:tblLook w:val="0000"/>
        </w:tblPrEx>
        <w:tc>
          <w:tcPr>
            <w:tcW w:w="607" w:type="dxa"/>
          </w:tcPr>
          <w:p w:rsidR="00F85C99" w:rsidRPr="002F6A28" w:rsidP="009E75ED" w14:paraId="7B0EAF56" w14:textId="77777777">
            <w:pPr>
              <w:spacing w:before="120" w:after="120"/>
              <w:jc w:val="left"/>
              <w:rPr>
                <w:b/>
              </w:rPr>
            </w:pPr>
            <w:r w:rsidRPr="002F6A28">
              <w:rPr>
                <w:b/>
              </w:rPr>
              <w:t>8.</w:t>
            </w:r>
          </w:p>
        </w:tc>
        <w:tc>
          <w:tcPr>
            <w:tcW w:w="8373" w:type="dxa"/>
          </w:tcPr>
          <w:p w:rsidR="000C3B6C" w:rsidRPr="00EC00D2" w:rsidP="007F13E8" w14:paraId="7D696210" w14:textId="77777777">
            <w:pPr>
              <w:spacing w:before="120" w:after="120"/>
              <w:rPr>
                <w:bCs/>
              </w:rPr>
            </w:pPr>
            <w:r w:rsidRPr="002F6A28">
              <w:rPr>
                <w:b/>
              </w:rPr>
              <w:t>Relevant documents:</w:t>
            </w:r>
            <w:r w:rsidRPr="002F6A28" w:rsidR="00EE3A11">
              <w:t xml:space="preserve"> </w:t>
            </w:r>
          </w:p>
          <w:p w:rsidR="00EE3A11" w:rsidRPr="002F6A28" w:rsidP="007F13E8" w14:paraId="4EE3E856" w14:textId="77777777">
            <w:pPr>
              <w:spacing w:before="120" w:after="120"/>
            </w:pPr>
            <w:r w:rsidRPr="002F6A28">
              <w:t>The Draft amendments to the Rules of Good Manufacturing Practice in the Eurasian Economic Union</w:t>
            </w:r>
          </w:p>
          <w:p w:rsidR="00EE3A11" w:rsidRPr="002F6A28" w:rsidP="007F13E8" w14:paraId="18551412" w14:textId="77777777">
            <w:pPr>
              <w:spacing w:before="120" w:after="120"/>
            </w:pPr>
            <w:hyperlink r:id="rId7" w:history="1">
              <w:r w:rsidRPr="002F6A28">
                <w:rPr>
                  <w:color w:val="0000FF"/>
                  <w:u w:val="single"/>
                </w:rPr>
                <w:t>https://regulation.eaeunion.org/orv/3269/</w:t>
              </w:r>
            </w:hyperlink>
          </w:p>
          <w:p w:rsidR="00EE3A11" w:rsidRPr="002F6A28" w:rsidP="007F13E8" w14:paraId="12EFAE70" w14:textId="77777777">
            <w:pPr>
              <w:spacing w:before="120" w:after="120"/>
            </w:pPr>
            <w:r w:rsidRPr="002F6A28">
              <w:t>Decision of the Council of the Eurasian Economic Commission No.77 of November 3, 2016</w:t>
            </w:r>
          </w:p>
          <w:p w:rsidR="00EE3A11" w:rsidRPr="002F6A28" w:rsidP="007F13E8" w14:paraId="1003C57F" w14:textId="77777777">
            <w:pPr>
              <w:spacing w:before="120" w:after="120"/>
            </w:pPr>
            <w:hyperlink r:id="rId8" w:tgtFrame="_blank" w:history="1">
              <w:r w:rsidRPr="002F6A28">
                <w:rPr>
                  <w:color w:val="0000FF"/>
                  <w:u w:val="single"/>
                </w:rPr>
                <w:t>https://docs.eaeunion.org/documents/306/2586/</w:t>
              </w:r>
            </w:hyperlink>
          </w:p>
        </w:tc>
      </w:tr>
      <w:tr w14:paraId="0F8095A5" w14:textId="77777777" w:rsidTr="00DB13FE">
        <w:tblPrEx>
          <w:tblW w:w="5000" w:type="pct"/>
          <w:tblLayout w:type="fixed"/>
          <w:tblLook w:val="0000"/>
        </w:tblPrEx>
        <w:tc>
          <w:tcPr>
            <w:tcW w:w="607" w:type="dxa"/>
          </w:tcPr>
          <w:p w:rsidR="00EE3A11" w:rsidRPr="002F6A28" w:rsidP="002F6A28" w14:paraId="059129A5" w14:textId="77777777">
            <w:pPr>
              <w:spacing w:before="120" w:after="120"/>
              <w:jc w:val="left"/>
              <w:rPr>
                <w:b/>
              </w:rPr>
            </w:pPr>
            <w:r w:rsidRPr="002F6A28">
              <w:rPr>
                <w:b/>
              </w:rPr>
              <w:t>9.</w:t>
            </w:r>
          </w:p>
        </w:tc>
        <w:tc>
          <w:tcPr>
            <w:tcW w:w="8373" w:type="dxa"/>
          </w:tcPr>
          <w:p w:rsidR="00EE3A11" w:rsidRPr="002F6A28" w:rsidP="008953C4" w14:paraId="2CF75AD0" w14:textId="77777777">
            <w:pPr>
              <w:spacing w:before="120" w:after="120"/>
            </w:pPr>
            <w:r w:rsidRPr="002F6A28">
              <w:rPr>
                <w:b/>
              </w:rPr>
              <w:t>Proposed date of adoption:</w:t>
            </w:r>
            <w:r w:rsidRPr="00C379C8">
              <w:t xml:space="preserve"> To be determined</w:t>
            </w:r>
          </w:p>
          <w:p w:rsidR="00EE3A11" w:rsidRPr="002F6A28" w:rsidP="008953C4" w14:paraId="2863960F" w14:textId="77777777">
            <w:pPr>
              <w:spacing w:after="120"/>
            </w:pPr>
            <w:r w:rsidRPr="002F6A28">
              <w:rPr>
                <w:b/>
              </w:rPr>
              <w:t>Proposed date of entry into force:</w:t>
            </w:r>
            <w:r w:rsidRPr="00C379C8">
              <w:t xml:space="preserve"> To be determined</w:t>
            </w:r>
          </w:p>
        </w:tc>
      </w:tr>
      <w:tr w14:paraId="27FA4B05" w14:textId="77777777" w:rsidTr="00DB13FE">
        <w:tblPrEx>
          <w:tblW w:w="5000" w:type="pct"/>
          <w:tblLayout w:type="fixed"/>
          <w:tblLook w:val="0000"/>
        </w:tblPrEx>
        <w:tc>
          <w:tcPr>
            <w:tcW w:w="607" w:type="dxa"/>
            <w:tcBorders>
              <w:bottom w:val="double" w:sz="4" w:space="0" w:color="auto"/>
            </w:tcBorders>
          </w:tcPr>
          <w:p w:rsidR="00F85C99" w:rsidRPr="002F6A28" w:rsidP="002F6A28" w14:paraId="52F98666"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49A5DE6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7B511B95" w14:textId="77777777">
            <w:pPr>
              <w:spacing w:before="120" w:after="120"/>
              <w:rPr>
                <w:bCs/>
              </w:rPr>
            </w:pPr>
            <w:r w:rsidRPr="002F6A28">
              <w:rPr>
                <w:b/>
              </w:rPr>
              <w:t>Final date for comments:</w:t>
            </w:r>
            <w:r w:rsidRPr="00C379C8" w:rsidR="00EE3A11">
              <w:t xml:space="preserve"> 10 December 2025</w:t>
            </w:r>
          </w:p>
          <w:p w:rsidR="000C3B6C" w:rsidRPr="00E3324D" w:rsidP="000C3B6C" w14:paraId="719C15FE" w14:textId="77777777">
            <w:pPr>
              <w:tabs>
                <w:tab w:val="left" w:pos="1418"/>
                <w:tab w:val="left" w:pos="2127"/>
                <w:tab w:val="left" w:pos="2835"/>
                <w:tab w:val="left" w:pos="3402"/>
              </w:tabs>
              <w:spacing w:before="120" w:after="120"/>
              <w:rPr>
                <w:b/>
                <w:bCs/>
              </w:rPr>
            </w:pPr>
            <w:r w:rsidRPr="00E3324D">
              <w:rPr>
                <w:b/>
                <w:bCs/>
              </w:rPr>
              <w:t>[ ]</w:t>
            </w:r>
            <w:r w:rsidRPr="00E3324D">
              <w:rPr>
                <w:b/>
                <w:bCs/>
              </w:rPr>
              <w:t xml:space="preserve"> 60 days from notification</w:t>
            </w:r>
            <w:r w:rsidRPr="006A4C49" w:rsidR="00D75956">
              <w:t xml:space="preserve"> </w:t>
            </w:r>
          </w:p>
          <w:p w:rsidR="000C3B6C" w:rsidRPr="002F6A28" w:rsidP="000C3B6C" w14:paraId="0C049CA6" w14:textId="77777777">
            <w:pPr>
              <w:spacing w:before="120" w:after="120"/>
            </w:pPr>
            <w:r w:rsidRPr="00E3324D">
              <w:rPr>
                <w:b/>
                <w:bCs/>
              </w:rPr>
              <w:t>Contact details of agency or authority designated to handle comments regarding the notification:</w:t>
            </w:r>
            <w:r w:rsidRPr="00CE6C29" w:rsidR="00CE6C29">
              <w:t xml:space="preserve"> </w:t>
            </w:r>
          </w:p>
        </w:tc>
      </w:tr>
    </w:tbl>
    <w:p w:rsidR="00EE3A11" w:rsidRPr="002F6A28" w:rsidP="00887259" w14:paraId="481CD9EE"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CC30DDC"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9D959FA"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3C28980"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5CCC871" w14:textId="77777777">
    <w:pPr>
      <w:pStyle w:val="Header"/>
      <w:pBdr>
        <w:bottom w:val="single" w:sz="4" w:space="1" w:color="auto"/>
      </w:pBdr>
      <w:tabs>
        <w:tab w:val="clear" w:pos="4513"/>
        <w:tab w:val="clear" w:pos="9027"/>
      </w:tabs>
      <w:jc w:val="center"/>
    </w:pPr>
    <w:r w:rsidRPr="002F6A28">
      <w:t>tbtSymbol</w:t>
    </w:r>
  </w:p>
  <w:p w:rsidR="009239F7" w:rsidRPr="002F6A28" w:rsidP="009239F7" w14:paraId="0C3259D1" w14:textId="77777777">
    <w:pPr>
      <w:pStyle w:val="Header"/>
      <w:pBdr>
        <w:bottom w:val="single" w:sz="4" w:space="1" w:color="auto"/>
      </w:pBdr>
      <w:tabs>
        <w:tab w:val="clear" w:pos="4513"/>
        <w:tab w:val="clear" w:pos="9027"/>
      </w:tabs>
      <w:jc w:val="center"/>
    </w:pPr>
  </w:p>
  <w:p w:rsidR="009239F7" w:rsidRPr="002F6A28" w:rsidP="009239F7" w14:paraId="02AC545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82C1D9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5EB2E31" w14:textId="77777777">
    <w:pPr>
      <w:pStyle w:val="Header"/>
      <w:pBdr>
        <w:bottom w:val="single" w:sz="4" w:space="1" w:color="auto"/>
      </w:pBdr>
      <w:tabs>
        <w:tab w:val="clear" w:pos="4513"/>
        <w:tab w:val="clear" w:pos="9027"/>
      </w:tabs>
      <w:jc w:val="center"/>
    </w:pPr>
    <w:bookmarkStart w:id="0" w:name="spsSymbolHeader"/>
    <w:r w:rsidRPr="002F6A28">
      <w:t>G/TBT/N/RUS/177</w:t>
    </w:r>
    <w:bookmarkEnd w:id="0"/>
  </w:p>
  <w:p w:rsidR="009239F7" w:rsidRPr="002F6A28" w:rsidP="009239F7" w14:paraId="3A57E132" w14:textId="77777777">
    <w:pPr>
      <w:pStyle w:val="Header"/>
      <w:pBdr>
        <w:bottom w:val="single" w:sz="4" w:space="1" w:color="auto"/>
      </w:pBdr>
      <w:tabs>
        <w:tab w:val="clear" w:pos="4513"/>
        <w:tab w:val="clear" w:pos="9027"/>
      </w:tabs>
      <w:jc w:val="center"/>
    </w:pPr>
  </w:p>
  <w:p w:rsidR="009239F7" w:rsidRPr="002F6A28" w:rsidP="009239F7" w14:paraId="58671B5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691EE0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323EE68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F94A019"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03CEDE9D" w14:textId="77777777">
          <w:pPr>
            <w:jc w:val="right"/>
            <w:rPr>
              <w:b/>
              <w:color w:val="FF0000"/>
              <w:szCs w:val="16"/>
            </w:rPr>
          </w:pPr>
        </w:p>
      </w:tc>
    </w:tr>
    <w:bookmarkEnd w:id="1"/>
    <w:tr w14:paraId="28A00662"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21DC8EB"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3BB1A1FC" w14:textId="77777777">
          <w:pPr>
            <w:jc w:val="right"/>
            <w:rPr>
              <w:b/>
              <w:szCs w:val="16"/>
            </w:rPr>
          </w:pPr>
        </w:p>
      </w:tc>
    </w:tr>
    <w:tr w14:paraId="28EC716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E219C2B"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A70EACD" w14:textId="77777777">
          <w:pPr>
            <w:jc w:val="right"/>
            <w:rPr>
              <w:b/>
              <w:szCs w:val="16"/>
            </w:rPr>
          </w:pPr>
          <w:bookmarkStart w:id="2" w:name="bmkSymbols"/>
          <w:r w:rsidRPr="002F6A28">
            <w:rPr>
              <w:b/>
              <w:szCs w:val="16"/>
            </w:rPr>
            <w:t>G/TBT/N/RUS/177</w:t>
          </w:r>
          <w:bookmarkEnd w:id="2"/>
        </w:p>
      </w:tc>
    </w:tr>
    <w:tr w14:paraId="73B0A2A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1C70F01" w14:textId="77777777"/>
      </w:tc>
      <w:tc>
        <w:tcPr>
          <w:tcW w:w="5448" w:type="dxa"/>
          <w:gridSpan w:val="2"/>
          <w:shd w:val="clear" w:color="auto" w:fill="FFFFFF"/>
          <w:tcMar>
            <w:left w:w="108" w:type="dxa"/>
            <w:right w:w="108" w:type="dxa"/>
          </w:tcMar>
          <w:vAlign w:val="center"/>
        </w:tcPr>
        <w:p w:rsidR="00ED54E0" w:rsidRPr="009239F7" w:rsidP="00B801E9" w14:paraId="1C974EA4" w14:textId="77777777">
          <w:pPr>
            <w:jc w:val="right"/>
            <w:rPr>
              <w:szCs w:val="16"/>
            </w:rPr>
          </w:pPr>
          <w:bookmarkStart w:id="3" w:name="spsDateDistribution"/>
          <w:bookmarkStart w:id="4" w:name="bmkDate"/>
          <w:r w:rsidRPr="009239F7">
            <w:rPr>
              <w:szCs w:val="16"/>
            </w:rPr>
            <w:t>17 November 2025</w:t>
          </w:r>
          <w:bookmarkEnd w:id="3"/>
          <w:bookmarkEnd w:id="4"/>
        </w:p>
      </w:tc>
    </w:tr>
    <w:tr w14:paraId="253B9BF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A5D8A0F" w14:textId="77777777">
          <w:pPr>
            <w:jc w:val="left"/>
            <w:rPr>
              <w:b/>
            </w:rPr>
          </w:pPr>
          <w:bookmarkStart w:id="5" w:name="bmkSerial"/>
          <w:r>
            <w:rPr>
              <w:rFonts w:ascii="Verdana" w:eastAsia="Verdana" w:hAnsi="Verdana" w:cs="Verdana"/>
              <w:b w:val="0"/>
              <w:color w:val="FF0000"/>
              <w:sz w:val="18"/>
            </w:rPr>
            <w:t>(25-7600)</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18638B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DA8E1B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7ADAABB1"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1F98D27"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62E80D6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328397">
    <w:abstractNumId w:val="9"/>
  </w:num>
  <w:num w:numId="2" w16cid:durableId="1963728427">
    <w:abstractNumId w:val="7"/>
  </w:num>
  <w:num w:numId="3" w16cid:durableId="1163277059">
    <w:abstractNumId w:val="6"/>
  </w:num>
  <w:num w:numId="4" w16cid:durableId="1145974217">
    <w:abstractNumId w:val="5"/>
  </w:num>
  <w:num w:numId="5" w16cid:durableId="2002730852">
    <w:abstractNumId w:val="4"/>
  </w:num>
  <w:num w:numId="6" w16cid:durableId="2034531529">
    <w:abstractNumId w:val="12"/>
  </w:num>
  <w:num w:numId="7" w16cid:durableId="746347718">
    <w:abstractNumId w:val="11"/>
  </w:num>
  <w:num w:numId="8" w16cid:durableId="2067294507">
    <w:abstractNumId w:val="10"/>
  </w:num>
  <w:num w:numId="9" w16cid:durableId="15500711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9981175">
    <w:abstractNumId w:val="13"/>
  </w:num>
  <w:num w:numId="11" w16cid:durableId="641540460">
    <w:abstractNumId w:val="8"/>
  </w:num>
  <w:num w:numId="12" w16cid:durableId="942496109">
    <w:abstractNumId w:val="3"/>
  </w:num>
  <w:num w:numId="13" w16cid:durableId="717239919">
    <w:abstractNumId w:val="2"/>
  </w:num>
  <w:num w:numId="14" w16cid:durableId="1665860093">
    <w:abstractNumId w:val="1"/>
  </w:num>
  <w:num w:numId="15" w16cid:durableId="10457148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017C"/>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7F318A"/>
    <w:rsid w:val="008055FB"/>
    <w:rsid w:val="00807247"/>
    <w:rsid w:val="00812D1D"/>
    <w:rsid w:val="008159AC"/>
    <w:rsid w:val="00822AA4"/>
    <w:rsid w:val="00832EE1"/>
    <w:rsid w:val="008378EF"/>
    <w:rsid w:val="00840C2B"/>
    <w:rsid w:val="00854F43"/>
    <w:rsid w:val="00860955"/>
    <w:rsid w:val="008612A9"/>
    <w:rsid w:val="00862F83"/>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15A5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87A398"/>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info@gostinfo.ru" TargetMode="External" /><Relationship Id="rId6" Type="http://schemas.openxmlformats.org/officeDocument/2006/relationships/hyperlink" Target="mailto:dept_techregulation@eurasiancommission.org" TargetMode="External" /><Relationship Id="rId7" Type="http://schemas.openxmlformats.org/officeDocument/2006/relationships/hyperlink" Target="https://regulation.eaeunion.org/orv/3269/" TargetMode="External" /><Relationship Id="rId8" Type="http://schemas.openxmlformats.org/officeDocument/2006/relationships/hyperlink" Target="https://docs.eaeunion.org/documents/306/2586/"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513</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3</cp:revision>
  <dcterms:created xsi:type="dcterms:W3CDTF">2025-11-17T09:40:00Z</dcterms:created>
  <dcterms:modified xsi:type="dcterms:W3CDTF">2025-11-17T09:40:00Z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