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CD67D96" w14:textId="77777777">
      <w:pPr>
        <w:pStyle w:val="Title"/>
        <w:rPr>
          <w:caps w:val="0"/>
          <w:kern w:val="0"/>
        </w:rPr>
      </w:pPr>
      <w:r w:rsidRPr="002F6A28">
        <w:rPr>
          <w:caps w:val="0"/>
          <w:kern w:val="0"/>
        </w:rPr>
        <w:t>NOTIFICATION</w:t>
      </w:r>
    </w:p>
    <w:p w:rsidR="009239F7" w:rsidRPr="002F6A28" w:rsidP="002F6A28" w14:paraId="5B9CC26D" w14:textId="77777777">
      <w:pPr>
        <w:jc w:val="center"/>
      </w:pPr>
      <w:r w:rsidRPr="002F6A28">
        <w:t>The following notification is being circulated in accordance with Article 10.6</w:t>
      </w:r>
    </w:p>
    <w:p w:rsidR="009239F7" w:rsidRPr="002F6A28" w:rsidP="002F6A28" w14:paraId="27DBAEC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716E69" w14:textId="77777777" w:rsidTr="00DB13FE">
        <w:tblPrEx>
          <w:tblW w:w="5000" w:type="pct"/>
          <w:tblLayout w:type="fixed"/>
          <w:tblLook w:val="0000"/>
        </w:tblPrEx>
        <w:tc>
          <w:tcPr>
            <w:tcW w:w="607" w:type="dxa"/>
            <w:tcBorders>
              <w:top w:val="double" w:sz="4" w:space="0" w:color="auto"/>
            </w:tcBorders>
          </w:tcPr>
          <w:p w:rsidR="00F85C99" w:rsidRPr="002F6A28" w:rsidP="002F6A28" w14:paraId="31CC162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7BA40C"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0B51493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7B66E1" w14:textId="77777777" w:rsidTr="00DB13FE">
        <w:tblPrEx>
          <w:tblW w:w="5000" w:type="pct"/>
          <w:tblLayout w:type="fixed"/>
          <w:tblLook w:val="0000"/>
        </w:tblPrEx>
        <w:tc>
          <w:tcPr>
            <w:tcW w:w="607" w:type="dxa"/>
          </w:tcPr>
          <w:p w:rsidR="00F85C99" w:rsidRPr="002F6A28" w:rsidP="002F6A28" w14:paraId="42A57FEC" w14:textId="77777777">
            <w:pPr>
              <w:spacing w:before="120" w:after="120"/>
              <w:jc w:val="left"/>
            </w:pPr>
            <w:r w:rsidRPr="002F6A28">
              <w:rPr>
                <w:b/>
              </w:rPr>
              <w:t>2.</w:t>
            </w:r>
          </w:p>
        </w:tc>
        <w:tc>
          <w:tcPr>
            <w:tcW w:w="8373" w:type="dxa"/>
          </w:tcPr>
          <w:p w:rsidR="00F85C99" w:rsidRPr="002F6A28" w:rsidP="000C3B6C" w14:paraId="6229490A" w14:textId="77777777">
            <w:pPr>
              <w:spacing w:before="120" w:after="120"/>
            </w:pPr>
            <w:r w:rsidRPr="002F6A28">
              <w:rPr>
                <w:b/>
              </w:rPr>
              <w:t>Agency responsible:</w:t>
            </w:r>
            <w:r w:rsidRPr="00C379C8" w:rsidR="00EE3A11">
              <w:t xml:space="preserve"> </w:t>
            </w:r>
          </w:p>
          <w:p w:rsidR="00EE3A11" w:rsidRPr="00C379C8" w:rsidP="000C3B6C" w14:paraId="64E3E956" w14:textId="77777777">
            <w:pPr>
              <w:spacing w:after="120"/>
            </w:pPr>
            <w:r w:rsidRPr="00C379C8">
              <w:t>Australian Competition and Consumer Commission (ACCC)</w:t>
            </w:r>
          </w:p>
        </w:tc>
      </w:tr>
      <w:tr w14:paraId="51999AFD" w14:textId="77777777" w:rsidTr="00DB13FE">
        <w:tblPrEx>
          <w:tblW w:w="5000" w:type="pct"/>
          <w:tblLayout w:type="fixed"/>
          <w:tblLook w:val="0000"/>
        </w:tblPrEx>
        <w:tc>
          <w:tcPr>
            <w:tcW w:w="607" w:type="dxa"/>
          </w:tcPr>
          <w:p w:rsidR="00F85C99" w:rsidRPr="002F6A28" w:rsidP="002F6A28" w14:paraId="17268907" w14:textId="77777777">
            <w:pPr>
              <w:spacing w:before="120" w:after="120"/>
              <w:jc w:val="left"/>
              <w:rPr>
                <w:b/>
              </w:rPr>
            </w:pPr>
            <w:r w:rsidRPr="002F6A28">
              <w:rPr>
                <w:b/>
              </w:rPr>
              <w:t>3.</w:t>
            </w:r>
          </w:p>
        </w:tc>
        <w:tc>
          <w:tcPr>
            <w:tcW w:w="8373" w:type="dxa"/>
          </w:tcPr>
          <w:p w:rsidR="00F85C99" w:rsidRPr="0058336F" w:rsidP="002F6A28" w14:paraId="3C63895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3A9B62F" w14:textId="77777777" w:rsidTr="00DB13FE">
        <w:tblPrEx>
          <w:tblW w:w="5000" w:type="pct"/>
          <w:tblLayout w:type="fixed"/>
          <w:tblLook w:val="0000"/>
        </w:tblPrEx>
        <w:tc>
          <w:tcPr>
            <w:tcW w:w="607" w:type="dxa"/>
          </w:tcPr>
          <w:p w:rsidR="00F85C99" w:rsidRPr="002F6A28" w:rsidP="002F6A28" w14:paraId="0CDBAC76" w14:textId="77777777">
            <w:pPr>
              <w:spacing w:before="120" w:after="120"/>
              <w:jc w:val="left"/>
            </w:pPr>
            <w:r w:rsidRPr="002F6A28">
              <w:rPr>
                <w:b/>
              </w:rPr>
              <w:t>4.</w:t>
            </w:r>
          </w:p>
        </w:tc>
        <w:tc>
          <w:tcPr>
            <w:tcW w:w="8373" w:type="dxa"/>
          </w:tcPr>
          <w:p w:rsidR="00F85C99" w:rsidRPr="002F6A28" w:rsidP="002F6A28" w14:paraId="6273E87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 9503.00.30</w:t>
            </w:r>
          </w:p>
        </w:tc>
      </w:tr>
      <w:tr w14:paraId="0B9F1373" w14:textId="77777777" w:rsidTr="00DB13FE">
        <w:tblPrEx>
          <w:tblW w:w="5000" w:type="pct"/>
          <w:tblLayout w:type="fixed"/>
          <w:tblLook w:val="0000"/>
        </w:tblPrEx>
        <w:tc>
          <w:tcPr>
            <w:tcW w:w="607" w:type="dxa"/>
          </w:tcPr>
          <w:p w:rsidR="00F85C99" w:rsidRPr="002F6A28" w:rsidP="002F6A28" w14:paraId="70BEEF34" w14:textId="77777777">
            <w:pPr>
              <w:spacing w:before="120" w:after="120"/>
              <w:jc w:val="left"/>
            </w:pPr>
            <w:r w:rsidRPr="002F6A28">
              <w:rPr>
                <w:b/>
              </w:rPr>
              <w:t>5.</w:t>
            </w:r>
          </w:p>
        </w:tc>
        <w:tc>
          <w:tcPr>
            <w:tcW w:w="8373" w:type="dxa"/>
          </w:tcPr>
          <w:p w:rsidR="00F85C99" w:rsidP="002F6A28" w14:paraId="67EB9EB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Limited review of the mandatory safety standard for aquatic toys; (11 pages, in English) accessed via link below.; (11 page(s), in English)</w:t>
            </w:r>
          </w:p>
          <w:p w:rsidR="000C3B6C" w:rsidRPr="000C3B6C" w:rsidP="002F6A28" w14:paraId="5533CF6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64BCC" w:rsidRPr="00CE6C29" w:rsidP="002F6A28" w14:paraId="3FA994B7"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https://members.wto.org/crnattachments/2025/TBT/AUS/25_07966_00_e.pdf</w:t>
              </w:r>
            </w:hyperlink>
          </w:p>
          <w:p w:rsidR="00964BCC" w:rsidRPr="00CE6C29" w:rsidP="002F6A28" w14:paraId="67BAFD94" w14:textId="77777777">
            <w:pPr>
              <w:spacing w:after="120"/>
              <w:rPr>
                <w:iCs/>
              </w:rPr>
            </w:pPr>
            <w:hyperlink r:id="rId6" w:tgtFrame="_blank" w:history="1">
              <w:r w:rsidRPr="00CE6C29">
                <w:rPr>
                  <w:iCs/>
                  <w:color w:val="0000FF"/>
                  <w:u w:val="single"/>
                </w:rPr>
                <w:t>https://consultation.accc.gov.au/accc/limited-review-of-aquatic-toys-mandatory-standard/</w:t>
              </w:r>
            </w:hyperlink>
          </w:p>
        </w:tc>
      </w:tr>
      <w:tr w14:paraId="6A1C7128" w14:textId="77777777" w:rsidTr="00DB13FE">
        <w:tblPrEx>
          <w:tblW w:w="5000" w:type="pct"/>
          <w:tblLayout w:type="fixed"/>
          <w:tblLook w:val="0000"/>
        </w:tblPrEx>
        <w:tc>
          <w:tcPr>
            <w:tcW w:w="607" w:type="dxa"/>
          </w:tcPr>
          <w:p w:rsidR="00F85C99" w:rsidRPr="002F6A28" w:rsidP="002F6A28" w14:paraId="70B9DFD7" w14:textId="77777777">
            <w:pPr>
              <w:spacing w:before="120" w:after="120"/>
              <w:jc w:val="left"/>
              <w:rPr>
                <w:b/>
              </w:rPr>
            </w:pPr>
            <w:r w:rsidRPr="002F6A28">
              <w:rPr>
                <w:b/>
              </w:rPr>
              <w:t>6.</w:t>
            </w:r>
          </w:p>
        </w:tc>
        <w:tc>
          <w:tcPr>
            <w:tcW w:w="8373" w:type="dxa"/>
          </w:tcPr>
          <w:p w:rsidR="00F85C99" w:rsidRPr="002F6A28" w:rsidP="002F6A28" w14:paraId="25CD3CBC" w14:textId="77777777">
            <w:pPr>
              <w:spacing w:before="120" w:after="120"/>
              <w:rPr>
                <w:b/>
              </w:rPr>
            </w:pPr>
            <w:r w:rsidRPr="002F6A28">
              <w:rPr>
                <w:b/>
              </w:rPr>
              <w:t>Description of content:</w:t>
            </w:r>
            <w:r w:rsidRPr="00C379C8" w:rsidR="00FE448B">
              <w:t xml:space="preserve"> The mandatory standard for aquatic toys the </w:t>
            </w:r>
            <w:hyperlink r:id="rId7" w:history="1">
              <w:r w:rsidRPr="00C379C8" w:rsidR="00FE448B">
                <w:rPr>
                  <w:color w:val="0000FF"/>
                  <w:u w:val="single"/>
                </w:rPr>
                <w:t>Consumer Goods (Aquatic Toys) Safety Standard 2020</w:t>
              </w:r>
            </w:hyperlink>
            <w:r w:rsidRPr="00C379C8" w:rsidR="00FE448B">
              <w:t xml:space="preserve"> (the </w:t>
            </w:r>
            <w:r w:rsidRPr="00C379C8" w:rsidR="00FE448B">
              <w:rPr>
                <w:b/>
                <w:bCs/>
              </w:rPr>
              <w:t>mandatory standard</w:t>
            </w:r>
            <w:r w:rsidRPr="00C379C8" w:rsidR="00FE448B">
              <w:t xml:space="preserve">) was first introduced in 1986 to ensure aquatic toys supplied in Australia have key safety features and labelling to reduce the risk of serious injury or death to children from drowning. </w:t>
            </w:r>
          </w:p>
          <w:p w:rsidR="00FE448B" w:rsidRPr="00C379C8" w:rsidP="002F6A28" w14:paraId="4D9FB510" w14:textId="77777777">
            <w:pPr>
              <w:spacing w:before="120" w:after="120"/>
            </w:pPr>
            <w:r w:rsidRPr="00C379C8">
              <w:t>The ACCC is conducting a limited review of the mandatory standard. The purpose of this limited review is to seek stakeholder views about:</w:t>
            </w:r>
          </w:p>
          <w:p w:rsidR="00FE448B" w:rsidRPr="00C379C8" w:rsidP="002F6A28" w14:paraId="02F20C92" w14:textId="77777777">
            <w:pPr>
              <w:numPr>
                <w:ilvl w:val="0"/>
                <w:numId w:val="16"/>
              </w:numPr>
              <w:spacing w:before="120" w:after="120"/>
            </w:pPr>
            <w:r w:rsidRPr="00C379C8">
              <w:t>updating the mandatory standard to reference and allow compliance with the 2022 and 2023 versions of the currently referenced voluntary ISO and Australian standards</w:t>
            </w:r>
          </w:p>
          <w:p w:rsidR="00FE448B" w:rsidRPr="00C379C8" w:rsidP="002F6A28" w14:paraId="1AD8E3C8" w14:textId="77777777">
            <w:pPr>
              <w:numPr>
                <w:ilvl w:val="0"/>
                <w:numId w:val="16"/>
              </w:numPr>
              <w:spacing w:before="120" w:after="120"/>
            </w:pPr>
            <w:r w:rsidRPr="00C379C8">
              <w:t>whether adding dynamic references is appropriate - so updates to referenced voluntary standards flow through to the mandatory standard</w:t>
            </w:r>
          </w:p>
          <w:p w:rsidR="00FE448B" w:rsidRPr="00C379C8" w:rsidP="002F6A28" w14:paraId="0DA71F9E" w14:textId="77777777">
            <w:pPr>
              <w:numPr>
                <w:ilvl w:val="0"/>
                <w:numId w:val="16"/>
              </w:numPr>
              <w:spacing w:before="120" w:after="120"/>
            </w:pPr>
            <w:r w:rsidRPr="00C379C8">
              <w:t>transition periods to support industry compliance.</w:t>
            </w:r>
          </w:p>
          <w:p w:rsidR="00FE448B" w:rsidRPr="00C379C8" w:rsidP="002F6A28" w14:paraId="5F749E1A" w14:textId="77777777">
            <w:pPr>
              <w:spacing w:before="120" w:after="120"/>
            </w:pPr>
            <w:r w:rsidRPr="00C379C8">
              <w:t>Significant changes such as altering the scope of the mandatory standard or other major requirements (such as performance measures) are not being considered in this limited review.</w:t>
            </w:r>
          </w:p>
          <w:p w:rsidR="00FE448B" w:rsidRPr="00C379C8" w:rsidP="002F6A28" w14:paraId="17E24402" w14:textId="77777777">
            <w:pPr>
              <w:spacing w:before="120" w:after="120"/>
            </w:pPr>
            <w:r w:rsidRPr="00C379C8">
              <w:t xml:space="preserve">The mandatory standard was last updated in 2020 and prescribes safety and labelling requirements for use in play in shallow water, and able to bear the mass of a child under the age of 14. Aquatic toys are inflatable and non-inflatable aquatic toys and items that can be worn or attached to the body (including inflatable novelty shapes, inflatable boats </w:t>
            </w:r>
            <w:r w:rsidRPr="00C379C8">
              <w:t>that are toys and that by virtue of their size and design are intended for use in shallow water, and unattached complete or partial rings).</w:t>
            </w:r>
          </w:p>
          <w:p w:rsidR="00FE448B" w:rsidRPr="00C379C8" w:rsidP="002F6A28" w14:paraId="5E57BE2B" w14:textId="77777777">
            <w:pPr>
              <w:spacing w:before="120" w:after="120"/>
            </w:pPr>
            <w:r w:rsidRPr="00C379C8">
              <w:t>The mandatory standard does not apply to beach balls, body boards, kickboards, surfboards, inflatable airbeds and inflatable boats for use in deep water.</w:t>
            </w:r>
          </w:p>
          <w:p w:rsidR="00FE448B" w:rsidRPr="00C379C8" w:rsidP="002F6A28" w14:paraId="67274F5C" w14:textId="77777777">
            <w:pPr>
              <w:spacing w:before="120" w:after="120"/>
            </w:pPr>
            <w:r w:rsidRPr="00C379C8">
              <w:t xml:space="preserve">The mandatory standard references and allows compliance with parts of the 2018 voluntary international standard </w:t>
            </w:r>
            <w:r w:rsidRPr="00C379C8">
              <w:rPr>
                <w:i/>
                <w:iCs/>
              </w:rPr>
              <w:t>ISO 8124-1:2018 Part 1: Safety aspects related to mechanical and physical properties</w:t>
            </w:r>
            <w:r w:rsidRPr="00C379C8">
              <w:t xml:space="preserve">, and the 2019 voluntary Australian standard </w:t>
            </w:r>
            <w:r w:rsidRPr="00C379C8">
              <w:rPr>
                <w:i/>
                <w:iCs/>
              </w:rPr>
              <w:t>AS/NZS ISO 8124.1:2019 Safety of toys Part 1: Safety aspects related to mechanical and physical properties</w:t>
            </w:r>
            <w:r w:rsidRPr="00C379C8">
              <w:t>.</w:t>
            </w:r>
          </w:p>
        </w:tc>
      </w:tr>
      <w:tr w14:paraId="2599B5DE" w14:textId="77777777" w:rsidTr="00DB13FE">
        <w:tblPrEx>
          <w:tblW w:w="5000" w:type="pct"/>
          <w:tblLayout w:type="fixed"/>
          <w:tblLook w:val="0000"/>
        </w:tblPrEx>
        <w:tc>
          <w:tcPr>
            <w:tcW w:w="607" w:type="dxa"/>
          </w:tcPr>
          <w:p w:rsidR="00F85C99" w:rsidRPr="002F6A28" w:rsidP="002F6A28" w14:paraId="602E0B95" w14:textId="77777777">
            <w:pPr>
              <w:spacing w:before="120" w:after="120"/>
              <w:jc w:val="left"/>
              <w:rPr>
                <w:b/>
              </w:rPr>
            </w:pPr>
            <w:r w:rsidRPr="002F6A28">
              <w:rPr>
                <w:b/>
              </w:rPr>
              <w:t>7.</w:t>
            </w:r>
          </w:p>
        </w:tc>
        <w:tc>
          <w:tcPr>
            <w:tcW w:w="8373" w:type="dxa"/>
          </w:tcPr>
          <w:p w:rsidR="00F85C99" w:rsidRPr="002F6A28" w:rsidP="002F6A28" w14:paraId="617F3D3A" w14:textId="77777777">
            <w:pPr>
              <w:spacing w:before="120" w:after="120"/>
              <w:rPr>
                <w:b/>
              </w:rPr>
            </w:pPr>
            <w:r w:rsidRPr="002F6A28">
              <w:rPr>
                <w:b/>
              </w:rPr>
              <w:t>Objective and rationale, including the nature of urgent problems where applicable:</w:t>
            </w:r>
            <w:r w:rsidRPr="00C379C8" w:rsidR="00EE3A11">
              <w:t xml:space="preserve"> The objective of the mandatory standard is to reduce risk of serious injury or death to children from drowning. It provides manufacturers and suppliers with design and labelling requirements for aquatic toys.</w:t>
            </w:r>
          </w:p>
          <w:p w:rsidR="00EE3A11" w:rsidRPr="00C379C8" w:rsidP="002F6A28" w14:paraId="695CBBB3" w14:textId="77777777">
            <w:pPr>
              <w:spacing w:before="120" w:after="120"/>
            </w:pPr>
            <w:r w:rsidRPr="00C379C8">
              <w:t>Referencing the updated versions of the referenced voluntary standards, including as they are updated from time-to-time, would mean products can keep pace with the latest product safety developments.; Protection of human health or safety; Reducing trade barriers and facilitating trade</w:t>
            </w:r>
          </w:p>
        </w:tc>
      </w:tr>
      <w:tr w14:paraId="6E6FB0DD" w14:textId="77777777" w:rsidTr="00DB13FE">
        <w:tblPrEx>
          <w:tblW w:w="5000" w:type="pct"/>
          <w:tblLayout w:type="fixed"/>
          <w:tblLook w:val="0000"/>
        </w:tblPrEx>
        <w:tc>
          <w:tcPr>
            <w:tcW w:w="607" w:type="dxa"/>
          </w:tcPr>
          <w:p w:rsidR="00F85C99" w:rsidRPr="002F6A28" w:rsidP="009E75ED" w14:paraId="14E2D872" w14:textId="77777777">
            <w:pPr>
              <w:spacing w:before="120" w:after="120"/>
              <w:jc w:val="left"/>
              <w:rPr>
                <w:b/>
              </w:rPr>
            </w:pPr>
            <w:r w:rsidRPr="002F6A28">
              <w:rPr>
                <w:b/>
              </w:rPr>
              <w:t>8.</w:t>
            </w:r>
          </w:p>
        </w:tc>
        <w:tc>
          <w:tcPr>
            <w:tcW w:w="8373" w:type="dxa"/>
          </w:tcPr>
          <w:p w:rsidR="000C3B6C" w:rsidRPr="00EC00D2" w:rsidP="007F13E8" w14:paraId="5D965C3D" w14:textId="77777777">
            <w:pPr>
              <w:spacing w:before="120" w:after="120"/>
              <w:rPr>
                <w:bCs/>
              </w:rPr>
            </w:pPr>
            <w:r w:rsidRPr="002F6A28">
              <w:rPr>
                <w:b/>
              </w:rPr>
              <w:t>Relevant documents:</w:t>
            </w:r>
            <w:r w:rsidRPr="002F6A28" w:rsidR="00EE3A11">
              <w:t xml:space="preserve"> </w:t>
            </w:r>
          </w:p>
          <w:p w:rsidR="00EE3A11" w:rsidRPr="002F6A28" w:rsidP="007F13E8" w14:paraId="6C5D6D4B" w14:textId="77777777">
            <w:pPr>
              <w:numPr>
                <w:ilvl w:val="0"/>
                <w:numId w:val="17"/>
              </w:numPr>
              <w:spacing w:before="120" w:after="120"/>
            </w:pPr>
            <w:r w:rsidRPr="002F6A28">
              <w:t xml:space="preserve">Consultation for the limited review of the aquatic toys mandatory standard - </w:t>
            </w:r>
            <w:hyperlink r:id="rId6" w:tgtFrame="_blank" w:history="1">
              <w:r w:rsidRPr="002F6A28">
                <w:rPr>
                  <w:color w:val="0000FF"/>
                  <w:u w:val="single"/>
                </w:rPr>
                <w:t>https://consultation.accc.gov.au/accc/limited-review-of-aquatic-toys-mandatory-standard/</w:t>
              </w:r>
            </w:hyperlink>
          </w:p>
          <w:p w:rsidR="00EE3A11" w:rsidRPr="002F6A28" w:rsidP="007F13E8" w14:paraId="5736CDFB" w14:textId="77777777">
            <w:pPr>
              <w:numPr>
                <w:ilvl w:val="0"/>
                <w:numId w:val="17"/>
              </w:numPr>
              <w:spacing w:before="120" w:after="120"/>
            </w:pPr>
            <w:r w:rsidRPr="002F6A28">
              <w:t xml:space="preserve">Current mandatory standard - </w:t>
            </w:r>
            <w:hyperlink r:id="rId7" w:history="1">
              <w:r w:rsidRPr="002F6A28">
                <w:rPr>
                  <w:color w:val="0000FF"/>
                  <w:u w:val="single"/>
                </w:rPr>
                <w:t>Consumer Goods (Aquatic Toys) Safety Standard 2020</w:t>
              </w:r>
            </w:hyperlink>
          </w:p>
          <w:p w:rsidR="00EE3A11" w:rsidRPr="002F6A28" w:rsidP="007F13E8" w14:paraId="6C88FA36" w14:textId="77777777">
            <w:pPr>
              <w:numPr>
                <w:ilvl w:val="0"/>
                <w:numId w:val="17"/>
              </w:numPr>
              <w:spacing w:before="120" w:after="120"/>
            </w:pPr>
            <w:r w:rsidRPr="002F6A28">
              <w:t xml:space="preserve">ACCC Product Safety page – </w:t>
            </w:r>
            <w:hyperlink r:id="rId8" w:history="1">
              <w:r w:rsidRPr="002F6A28">
                <w:rPr>
                  <w:color w:val="0000FF"/>
                  <w:u w:val="single"/>
                </w:rPr>
                <w:t>Aquatic Toys mandatory standard</w:t>
              </w:r>
            </w:hyperlink>
          </w:p>
          <w:p w:rsidR="00EE3A11" w:rsidRPr="002F6A28" w:rsidP="007F13E8" w14:paraId="5DF3D643" w14:textId="77777777">
            <w:pPr>
              <w:numPr>
                <w:ilvl w:val="0"/>
                <w:numId w:val="17"/>
              </w:numPr>
              <w:spacing w:before="120" w:after="120"/>
            </w:pPr>
            <w:r w:rsidRPr="002F6A28">
              <w:t xml:space="preserve">The voluntary international and Australian standards are available for purchase from </w:t>
            </w:r>
            <w:hyperlink r:id="rId9" w:history="1">
              <w:r w:rsidRPr="002F6A28">
                <w:rPr>
                  <w:color w:val="0000FF"/>
                  <w:u w:val="single"/>
                </w:rPr>
                <w:t>Standards Australia</w:t>
              </w:r>
            </w:hyperlink>
            <w:r w:rsidRPr="002F6A28">
              <w:t xml:space="preserve">, </w:t>
            </w:r>
            <w:hyperlink r:id="rId10" w:history="1">
              <w:r w:rsidRPr="002F6A28">
                <w:rPr>
                  <w:color w:val="0000FF"/>
                  <w:u w:val="single"/>
                </w:rPr>
                <w:t>Intertek Inform</w:t>
              </w:r>
            </w:hyperlink>
            <w:r w:rsidRPr="002F6A28">
              <w:t xml:space="preserve"> or </w:t>
            </w:r>
            <w:hyperlink r:id="rId11" w:history="1">
              <w:r w:rsidRPr="002F6A28">
                <w:rPr>
                  <w:color w:val="0000FF"/>
                  <w:u w:val="single"/>
                </w:rPr>
                <w:t>Accuris</w:t>
              </w:r>
            </w:hyperlink>
            <w:r w:rsidRPr="002F6A28">
              <w:t>.</w:t>
            </w:r>
          </w:p>
        </w:tc>
      </w:tr>
      <w:tr w14:paraId="5029F05B" w14:textId="77777777" w:rsidTr="00DB13FE">
        <w:tblPrEx>
          <w:tblW w:w="5000" w:type="pct"/>
          <w:tblLayout w:type="fixed"/>
          <w:tblLook w:val="0000"/>
        </w:tblPrEx>
        <w:tc>
          <w:tcPr>
            <w:tcW w:w="607" w:type="dxa"/>
          </w:tcPr>
          <w:p w:rsidR="00EE3A11" w:rsidRPr="002F6A28" w:rsidP="002F6A28" w14:paraId="4DE0F709" w14:textId="77777777">
            <w:pPr>
              <w:spacing w:before="120" w:after="120"/>
              <w:jc w:val="left"/>
              <w:rPr>
                <w:b/>
              </w:rPr>
            </w:pPr>
            <w:r w:rsidRPr="002F6A28">
              <w:rPr>
                <w:b/>
              </w:rPr>
              <w:t>9.</w:t>
            </w:r>
          </w:p>
        </w:tc>
        <w:tc>
          <w:tcPr>
            <w:tcW w:w="8373" w:type="dxa"/>
          </w:tcPr>
          <w:p w:rsidR="00EE3A11" w:rsidRPr="002F6A28" w:rsidP="008953C4" w14:paraId="4A71EBB6" w14:textId="77777777">
            <w:pPr>
              <w:spacing w:before="120" w:after="120"/>
            </w:pPr>
            <w:r w:rsidRPr="002F6A28">
              <w:rPr>
                <w:b/>
              </w:rPr>
              <w:t>Proposed date of adoption:</w:t>
            </w:r>
            <w:r w:rsidRPr="00C379C8">
              <w:t xml:space="preserve"> To be determined; Not applicable - we are consulting on whether the mandatory standard should be updated.</w:t>
            </w:r>
          </w:p>
          <w:p w:rsidR="00EE3A11" w:rsidRPr="002F6A28" w:rsidP="008953C4" w14:paraId="0F6C7DFC" w14:textId="77777777">
            <w:pPr>
              <w:spacing w:after="120"/>
            </w:pPr>
            <w:r w:rsidRPr="002F6A28">
              <w:rPr>
                <w:b/>
              </w:rPr>
              <w:t>Proposed date of entry into force:</w:t>
            </w:r>
            <w:r w:rsidRPr="00C379C8">
              <w:t xml:space="preserve"> To be determined; Not applicable</w:t>
            </w:r>
          </w:p>
        </w:tc>
      </w:tr>
      <w:tr w14:paraId="3B4AF31A" w14:textId="77777777" w:rsidTr="00DB13FE">
        <w:tblPrEx>
          <w:tblW w:w="5000" w:type="pct"/>
          <w:tblLayout w:type="fixed"/>
          <w:tblLook w:val="0000"/>
        </w:tblPrEx>
        <w:tc>
          <w:tcPr>
            <w:tcW w:w="607" w:type="dxa"/>
            <w:tcBorders>
              <w:bottom w:val="double" w:sz="4" w:space="0" w:color="auto"/>
            </w:tcBorders>
          </w:tcPr>
          <w:p w:rsidR="00F85C99" w:rsidRPr="002F6A28" w:rsidP="002F6A28" w14:paraId="73F6BBA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8A0BB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F197FE" w14:textId="77777777">
            <w:pPr>
              <w:spacing w:before="120" w:after="120"/>
              <w:rPr>
                <w:bCs/>
              </w:rPr>
            </w:pPr>
            <w:r w:rsidRPr="002F6A28">
              <w:rPr>
                <w:b/>
              </w:rPr>
              <w:t>Final date for comments:</w:t>
            </w:r>
            <w:r w:rsidRPr="00C379C8" w:rsidR="00EE3A11">
              <w:t xml:space="preserve"> 16 January 2026</w:t>
            </w:r>
          </w:p>
          <w:p w:rsidR="000C3B6C" w:rsidRPr="00E3324D" w:rsidP="000C3B6C" w14:paraId="2460E3E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414260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04BAB6" w14:textId="77777777">
            <w:r w:rsidRPr="00CE6C29">
              <w:t>WTO TBT Enquiry Point</w:t>
            </w:r>
          </w:p>
          <w:p w:rsidR="00CE6C29" w:rsidRPr="00CE6C29" w:rsidP="000C3B6C" w14:paraId="447B8081" w14:textId="77777777">
            <w:r w:rsidRPr="00CE6C29">
              <w:t>Office of Global Trade Negotiations</w:t>
            </w:r>
          </w:p>
          <w:p w:rsidR="00CE6C29" w:rsidRPr="00CE6C29" w:rsidP="000C3B6C" w14:paraId="50FDAB08" w14:textId="77777777">
            <w:r w:rsidRPr="00CE6C29">
              <w:t>Department of Foreign Affairs and Trade</w:t>
            </w:r>
          </w:p>
          <w:p w:rsidR="00CE6C29" w:rsidRPr="00CE6C29" w:rsidP="000C3B6C" w14:paraId="2E972767" w14:textId="77777777">
            <w:r w:rsidRPr="00CE6C29">
              <w:t>Canberra</w:t>
            </w:r>
          </w:p>
          <w:p w:rsidR="00CE6C29" w:rsidRPr="00CE6C29" w:rsidP="000C3B6C" w14:paraId="77CF578E" w14:textId="77777777">
            <w:r w:rsidRPr="00CE6C29">
              <w:t>Tel: +(61) 2 6261 1111</w:t>
            </w:r>
          </w:p>
          <w:p w:rsidR="00CE6C29" w:rsidRPr="00CE6C29" w:rsidP="000C3B6C" w14:paraId="685EEB2E" w14:textId="77777777">
            <w:r w:rsidRPr="00CE6C29">
              <w:t xml:space="preserve">Email: </w:t>
            </w:r>
            <w:hyperlink r:id="rId12" w:history="1">
              <w:r w:rsidRPr="00CE6C29">
                <w:rPr>
                  <w:color w:val="0000FF"/>
                  <w:u w:val="single"/>
                </w:rPr>
                <w:t>tbt.enquiry@dfat.gov.au</w:t>
              </w:r>
            </w:hyperlink>
          </w:p>
          <w:p w:rsidR="00CE6C29" w:rsidRPr="00CE6C29" w:rsidP="000C3B6C" w14:paraId="1C7122A6" w14:textId="77777777">
            <w:pPr>
              <w:spacing w:after="120"/>
            </w:pPr>
            <w:r w:rsidRPr="00CE6C29">
              <w:t xml:space="preserve">Website: </w:t>
            </w:r>
            <w:hyperlink r:id="rId13" w:tgtFrame="_blank" w:history="1">
              <w:r w:rsidRPr="00CE6C29">
                <w:rPr>
                  <w:color w:val="0000FF"/>
                  <w:u w:val="single"/>
                </w:rPr>
                <w:t>https://www.dfat.gov.au/</w:t>
              </w:r>
            </w:hyperlink>
          </w:p>
        </w:tc>
      </w:tr>
    </w:tbl>
    <w:p w:rsidR="00EE3A11" w:rsidRPr="002F6A28" w:rsidP="00887259" w14:paraId="455CFA25"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C8974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7C66F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4ECA3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9BD6C9" w14:textId="77777777">
    <w:pPr>
      <w:pStyle w:val="Header"/>
      <w:pBdr>
        <w:bottom w:val="single" w:sz="4" w:space="1" w:color="auto"/>
      </w:pBdr>
      <w:tabs>
        <w:tab w:val="clear" w:pos="4513"/>
        <w:tab w:val="clear" w:pos="9027"/>
      </w:tabs>
      <w:jc w:val="center"/>
    </w:pPr>
    <w:r w:rsidRPr="002F6A28">
      <w:t>tbtSymbol</w:t>
    </w:r>
  </w:p>
  <w:p w:rsidR="009239F7" w:rsidRPr="002F6A28" w:rsidP="009239F7" w14:paraId="4D8BA181" w14:textId="77777777">
    <w:pPr>
      <w:pStyle w:val="Header"/>
      <w:pBdr>
        <w:bottom w:val="single" w:sz="4" w:space="1" w:color="auto"/>
      </w:pBdr>
      <w:tabs>
        <w:tab w:val="clear" w:pos="4513"/>
        <w:tab w:val="clear" w:pos="9027"/>
      </w:tabs>
      <w:jc w:val="center"/>
    </w:pPr>
  </w:p>
  <w:p w:rsidR="009239F7" w:rsidRPr="002F6A28" w:rsidP="009239F7" w14:paraId="00BFAC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47A8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67639C" w14:textId="77777777">
    <w:pPr>
      <w:pStyle w:val="Header"/>
      <w:pBdr>
        <w:bottom w:val="single" w:sz="4" w:space="1" w:color="auto"/>
      </w:pBdr>
      <w:tabs>
        <w:tab w:val="clear" w:pos="4513"/>
        <w:tab w:val="clear" w:pos="9027"/>
      </w:tabs>
      <w:jc w:val="center"/>
    </w:pPr>
    <w:bookmarkStart w:id="0" w:name="spsSymbolHeader"/>
    <w:r w:rsidRPr="002F6A28">
      <w:t>G/TBT/N/AUS/191</w:t>
    </w:r>
    <w:bookmarkEnd w:id="0"/>
  </w:p>
  <w:p w:rsidR="009239F7" w:rsidRPr="002F6A28" w:rsidP="009239F7" w14:paraId="4F651E8E" w14:textId="77777777">
    <w:pPr>
      <w:pStyle w:val="Header"/>
      <w:pBdr>
        <w:bottom w:val="single" w:sz="4" w:space="1" w:color="auto"/>
      </w:pBdr>
      <w:tabs>
        <w:tab w:val="clear" w:pos="4513"/>
        <w:tab w:val="clear" w:pos="9027"/>
      </w:tabs>
      <w:jc w:val="center"/>
    </w:pPr>
  </w:p>
  <w:p w:rsidR="009239F7" w:rsidRPr="002F6A28" w:rsidP="009239F7" w14:paraId="755200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5FC7D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2CFC0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E3154F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95355E" w14:textId="77777777">
          <w:pPr>
            <w:jc w:val="right"/>
            <w:rPr>
              <w:b/>
              <w:color w:val="FF0000"/>
              <w:szCs w:val="16"/>
            </w:rPr>
          </w:pPr>
        </w:p>
      </w:tc>
    </w:tr>
    <w:bookmarkEnd w:id="1"/>
    <w:tr w14:paraId="2E1A593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CCE70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C75BD2" w14:textId="77777777">
          <w:pPr>
            <w:jc w:val="right"/>
            <w:rPr>
              <w:b/>
              <w:szCs w:val="16"/>
            </w:rPr>
          </w:pPr>
        </w:p>
      </w:tc>
    </w:tr>
    <w:tr w14:paraId="7D41FD0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DC59D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76F2095" w14:textId="77777777">
          <w:pPr>
            <w:jc w:val="right"/>
            <w:rPr>
              <w:b/>
              <w:szCs w:val="16"/>
            </w:rPr>
          </w:pPr>
          <w:bookmarkStart w:id="2" w:name="bmkSymbols"/>
          <w:r w:rsidRPr="002F6A28">
            <w:rPr>
              <w:b/>
              <w:szCs w:val="16"/>
            </w:rPr>
            <w:t>G/TBT/N/AUS/191</w:t>
          </w:r>
          <w:bookmarkEnd w:id="2"/>
        </w:p>
      </w:tc>
    </w:tr>
    <w:tr w14:paraId="1A460A8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794A39F" w14:textId="77777777"/>
      </w:tc>
      <w:tc>
        <w:tcPr>
          <w:tcW w:w="5448" w:type="dxa"/>
          <w:gridSpan w:val="2"/>
          <w:shd w:val="clear" w:color="auto" w:fill="FFFFFF"/>
          <w:tcMar>
            <w:left w:w="108" w:type="dxa"/>
            <w:right w:w="108" w:type="dxa"/>
          </w:tcMar>
          <w:vAlign w:val="center"/>
        </w:tcPr>
        <w:p w:rsidR="00ED54E0" w:rsidRPr="009239F7" w:rsidP="00B801E9" w14:paraId="4C55FFE0" w14:textId="77777777">
          <w:pPr>
            <w:jc w:val="right"/>
            <w:rPr>
              <w:szCs w:val="16"/>
            </w:rPr>
          </w:pPr>
          <w:bookmarkStart w:id="3" w:name="spsDateDistribution"/>
          <w:bookmarkStart w:id="4" w:name="bmkDate"/>
          <w:r w:rsidRPr="009239F7">
            <w:rPr>
              <w:szCs w:val="16"/>
            </w:rPr>
            <w:t>17 November 2025</w:t>
          </w:r>
          <w:bookmarkEnd w:id="3"/>
          <w:bookmarkEnd w:id="4"/>
        </w:p>
      </w:tc>
    </w:tr>
    <w:tr w14:paraId="3E6020B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0F4BFE" w14:textId="77777777">
          <w:pPr>
            <w:jc w:val="left"/>
            <w:rPr>
              <w:b/>
            </w:rPr>
          </w:pPr>
          <w:bookmarkStart w:id="5" w:name="bmkSerial"/>
          <w:r>
            <w:rPr>
              <w:rFonts w:ascii="Verdana" w:eastAsia="Verdana" w:hAnsi="Verdana" w:cs="Verdana"/>
              <w:b w:val="0"/>
              <w:color w:val="FF0000"/>
              <w:sz w:val="18"/>
            </w:rPr>
            <w:t>(25-7596)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E30C6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FD1540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D4D18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776B38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C9237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51423524">
    <w:abstractNumId w:val="9"/>
  </w:num>
  <w:num w:numId="2" w16cid:durableId="269288849">
    <w:abstractNumId w:val="7"/>
  </w:num>
  <w:num w:numId="3" w16cid:durableId="411706328">
    <w:abstractNumId w:val="6"/>
  </w:num>
  <w:num w:numId="4" w16cid:durableId="2063943071">
    <w:abstractNumId w:val="5"/>
  </w:num>
  <w:num w:numId="5" w16cid:durableId="978875347">
    <w:abstractNumId w:val="4"/>
  </w:num>
  <w:num w:numId="6" w16cid:durableId="1748266747">
    <w:abstractNumId w:val="12"/>
  </w:num>
  <w:num w:numId="7" w16cid:durableId="978002331">
    <w:abstractNumId w:val="11"/>
  </w:num>
  <w:num w:numId="8" w16cid:durableId="1955332735">
    <w:abstractNumId w:val="10"/>
  </w:num>
  <w:num w:numId="9" w16cid:durableId="490558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1924568">
    <w:abstractNumId w:val="13"/>
  </w:num>
  <w:num w:numId="11" w16cid:durableId="802117832">
    <w:abstractNumId w:val="8"/>
  </w:num>
  <w:num w:numId="12" w16cid:durableId="1732999687">
    <w:abstractNumId w:val="3"/>
  </w:num>
  <w:num w:numId="13" w16cid:durableId="1460537064">
    <w:abstractNumId w:val="2"/>
  </w:num>
  <w:num w:numId="14" w16cid:durableId="1308050638">
    <w:abstractNumId w:val="1"/>
  </w:num>
  <w:num w:numId="15" w16cid:durableId="1733045537">
    <w:abstractNumId w:val="0"/>
  </w:num>
  <w:num w:numId="16" w16cid:durableId="29502497">
    <w:abstractNumId w:val="14"/>
  </w:num>
  <w:num w:numId="17" w16cid:durableId="10167385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3010"/>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BCC"/>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26BC"/>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BFB8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ntertekinform.com/en-au/" TargetMode="External" /><Relationship Id="rId11" Type="http://schemas.openxmlformats.org/officeDocument/2006/relationships/hyperlink" Target="https://store.accuristech.com/" TargetMode="External" /><Relationship Id="rId12" Type="http://schemas.openxmlformats.org/officeDocument/2006/relationships/hyperlink" Target="mailto:tbt.enquiry@dfat.gov.au" TargetMode="External" /><Relationship Id="rId13" Type="http://schemas.openxmlformats.org/officeDocument/2006/relationships/hyperlink" Target="https://www.dfat.gov.au/"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AUS/25_07966_00_e.pdf" TargetMode="External" /><Relationship Id="rId6" Type="http://schemas.openxmlformats.org/officeDocument/2006/relationships/hyperlink" Target="https://consultation.accc.gov.au/accc/limited-review-of-aquatic-toys-mandatory-standard/" TargetMode="External" /><Relationship Id="rId7" Type="http://schemas.openxmlformats.org/officeDocument/2006/relationships/hyperlink" Target="https://www.legislation.gov.au/F2020L00686/latest/text" TargetMode="External" /><Relationship Id="rId8" Type="http://schemas.openxmlformats.org/officeDocument/2006/relationships/hyperlink" Target="https://www.productsafety.gov.au/business/search-mandatory-standards/aquatic-toys-mandatory-standard" TargetMode="External" /><Relationship Id="rId9" Type="http://schemas.openxmlformats.org/officeDocument/2006/relationships/hyperlink" Target="https://www.standards.org.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2025-11-17T09:23:00Z</dcterms:created>
  <dcterms:modified xsi:type="dcterms:W3CDTF">2025-11-17T09:23:00Z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