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39DA5D5" w14:textId="77777777">
      <w:pPr>
        <w:pStyle w:val="Title"/>
        <w:rPr>
          <w:caps w:val="0"/>
          <w:kern w:val="0"/>
        </w:rPr>
      </w:pPr>
      <w:r w:rsidRPr="002F6A28">
        <w:rPr>
          <w:caps w:val="0"/>
          <w:kern w:val="0"/>
        </w:rPr>
        <w:t>NOTIFICATION</w:t>
      </w:r>
    </w:p>
    <w:p w:rsidR="009239F7" w:rsidRPr="002F6A28" w:rsidP="002F6A28" w14:paraId="71EF9459" w14:textId="77777777">
      <w:pPr>
        <w:jc w:val="center"/>
      </w:pPr>
      <w:r w:rsidRPr="002F6A28">
        <w:t>The following notification is being circulated in accordance with Article 10.6</w:t>
      </w:r>
    </w:p>
    <w:p w:rsidR="009239F7" w:rsidRPr="002F6A28" w:rsidP="002F6A28" w14:paraId="0F1B0E7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633458B" w14:textId="77777777" w:rsidTr="00DB13FE">
        <w:tblPrEx>
          <w:tblW w:w="5000" w:type="pct"/>
          <w:tblLayout w:type="fixed"/>
          <w:tblLook w:val="0000"/>
        </w:tblPrEx>
        <w:tc>
          <w:tcPr>
            <w:tcW w:w="607" w:type="dxa"/>
            <w:tcBorders>
              <w:top w:val="double" w:sz="4" w:space="0" w:color="auto"/>
            </w:tcBorders>
          </w:tcPr>
          <w:p w:rsidR="00F85C99" w:rsidRPr="002F6A28" w:rsidP="002F6A28" w14:paraId="1C07006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3A7AEC9" w14:textId="77777777">
            <w:pPr>
              <w:spacing w:before="120" w:after="120"/>
            </w:pPr>
            <w:r w:rsidRPr="002F6A28">
              <w:rPr>
                <w:b/>
              </w:rPr>
              <w:t>Notifying Member:</w:t>
            </w:r>
            <w:r w:rsidRPr="00C92678" w:rsidR="00EE3A11">
              <w:t xml:space="preserve"> </w:t>
            </w:r>
            <w:r w:rsidRPr="00C92678" w:rsidR="00EE3A11">
              <w:rPr>
                <w:u w:val="single"/>
              </w:rPr>
              <w:t>CANADA</w:t>
            </w:r>
          </w:p>
          <w:p w:rsidR="00F85C99" w:rsidRPr="002F6A28" w:rsidP="002F6A28" w14:paraId="62E92B6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0CDE0FB" w14:textId="77777777" w:rsidTr="00DB13FE">
        <w:tblPrEx>
          <w:tblW w:w="5000" w:type="pct"/>
          <w:tblLayout w:type="fixed"/>
          <w:tblLook w:val="0000"/>
        </w:tblPrEx>
        <w:tc>
          <w:tcPr>
            <w:tcW w:w="607" w:type="dxa"/>
          </w:tcPr>
          <w:p w:rsidR="00F85C99" w:rsidRPr="002F6A28" w:rsidP="002F6A28" w14:paraId="17FFBCA4" w14:textId="77777777">
            <w:pPr>
              <w:spacing w:before="120" w:after="120"/>
              <w:jc w:val="left"/>
            </w:pPr>
            <w:r w:rsidRPr="002F6A28">
              <w:rPr>
                <w:b/>
              </w:rPr>
              <w:t>2.</w:t>
            </w:r>
          </w:p>
        </w:tc>
        <w:tc>
          <w:tcPr>
            <w:tcW w:w="8373" w:type="dxa"/>
          </w:tcPr>
          <w:p w:rsidR="00F85C99" w:rsidRPr="002F6A28" w:rsidP="000C3B6C" w14:paraId="48F49C92" w14:textId="77777777">
            <w:pPr>
              <w:spacing w:before="120" w:after="120"/>
            </w:pPr>
            <w:r w:rsidRPr="002F6A28">
              <w:rPr>
                <w:b/>
              </w:rPr>
              <w:t>Agency responsible:</w:t>
            </w:r>
            <w:r w:rsidRPr="00C379C8" w:rsidR="00EE3A11">
              <w:t xml:space="preserve"> </w:t>
            </w:r>
          </w:p>
          <w:p w:rsidR="00EE3A11" w:rsidRPr="00C379C8" w:rsidP="000C3B6C" w14:paraId="6B276155" w14:textId="77777777">
            <w:pPr>
              <w:spacing w:after="120"/>
            </w:pPr>
            <w:r w:rsidRPr="00C379C8">
              <w:t>Health Canada</w:t>
            </w:r>
          </w:p>
        </w:tc>
      </w:tr>
      <w:tr w14:paraId="70059215" w14:textId="77777777" w:rsidTr="00DB13FE">
        <w:tblPrEx>
          <w:tblW w:w="5000" w:type="pct"/>
          <w:tblLayout w:type="fixed"/>
          <w:tblLook w:val="0000"/>
        </w:tblPrEx>
        <w:tc>
          <w:tcPr>
            <w:tcW w:w="607" w:type="dxa"/>
          </w:tcPr>
          <w:p w:rsidR="00F85C99" w:rsidRPr="002F6A28" w:rsidP="002F6A28" w14:paraId="553CD4A0" w14:textId="77777777">
            <w:pPr>
              <w:spacing w:before="120" w:after="120"/>
              <w:jc w:val="left"/>
              <w:rPr>
                <w:b/>
              </w:rPr>
            </w:pPr>
            <w:r w:rsidRPr="002F6A28">
              <w:rPr>
                <w:b/>
              </w:rPr>
              <w:t>3.</w:t>
            </w:r>
          </w:p>
        </w:tc>
        <w:tc>
          <w:tcPr>
            <w:tcW w:w="8373" w:type="dxa"/>
          </w:tcPr>
          <w:p w:rsidR="00F85C99" w:rsidRPr="0058336F" w:rsidP="002F6A28" w14:paraId="19B5D6F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3E3108E" w14:textId="77777777" w:rsidTr="00DB13FE">
        <w:tblPrEx>
          <w:tblW w:w="5000" w:type="pct"/>
          <w:tblLayout w:type="fixed"/>
          <w:tblLook w:val="0000"/>
        </w:tblPrEx>
        <w:tc>
          <w:tcPr>
            <w:tcW w:w="607" w:type="dxa"/>
          </w:tcPr>
          <w:p w:rsidR="00F85C99" w:rsidRPr="002F6A28" w:rsidP="002F6A28" w14:paraId="20C2183B" w14:textId="77777777">
            <w:pPr>
              <w:spacing w:before="120" w:after="120"/>
              <w:jc w:val="left"/>
            </w:pPr>
            <w:r w:rsidRPr="002F6A28">
              <w:rPr>
                <w:b/>
              </w:rPr>
              <w:t>4.</w:t>
            </w:r>
          </w:p>
        </w:tc>
        <w:tc>
          <w:tcPr>
            <w:tcW w:w="8373" w:type="dxa"/>
          </w:tcPr>
          <w:p w:rsidR="00F85C99" w:rsidRPr="002F6A28" w:rsidP="002F6A28" w14:paraId="512858C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Medical equipment (ICS code(s): 11.040)</w:t>
            </w:r>
          </w:p>
        </w:tc>
      </w:tr>
      <w:tr w14:paraId="21D70E1A" w14:textId="77777777" w:rsidTr="00DB13FE">
        <w:tblPrEx>
          <w:tblW w:w="5000" w:type="pct"/>
          <w:tblLayout w:type="fixed"/>
          <w:tblLook w:val="0000"/>
        </w:tblPrEx>
        <w:tc>
          <w:tcPr>
            <w:tcW w:w="607" w:type="dxa"/>
          </w:tcPr>
          <w:p w:rsidR="00F85C99" w:rsidRPr="002F6A28" w:rsidP="002F6A28" w14:paraId="08FEE2E4" w14:textId="77777777">
            <w:pPr>
              <w:spacing w:before="120" w:after="120"/>
              <w:jc w:val="left"/>
            </w:pPr>
            <w:r w:rsidRPr="002F6A28">
              <w:rPr>
                <w:b/>
              </w:rPr>
              <w:t>5.</w:t>
            </w:r>
          </w:p>
        </w:tc>
        <w:tc>
          <w:tcPr>
            <w:tcW w:w="8373" w:type="dxa"/>
          </w:tcPr>
          <w:p w:rsidR="00F85C99" w:rsidP="002F6A28" w14:paraId="35530D5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Regulations Amending the Medical Devices Regulations (Establishment Licences) (30 pages, available in English and French)</w:t>
            </w:r>
          </w:p>
          <w:p w:rsidR="000C3B6C" w:rsidRPr="000C3B6C" w:rsidP="002F6A28" w14:paraId="4E3455A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54C83" w:rsidRPr="00CE6C29" w:rsidP="002F6A28" w14:paraId="48C75364" w14:textId="77777777">
            <w:pPr>
              <w:spacing w:after="120"/>
              <w:rPr>
                <w:iCs/>
              </w:rPr>
            </w:pPr>
            <w:hyperlink r:id="rId5" w:tgtFrame="_blank" w:history="1">
              <w:r w:rsidRPr="00CE6C29">
                <w:rPr>
                  <w:iCs/>
                  <w:color w:val="0000FF"/>
                  <w:u w:val="single"/>
                </w:rPr>
                <w:t>https://gazette.gc.ca/rp-pr/p1/2025/2025-11-08/html/reg1-fra.html</w:t>
              </w:r>
            </w:hyperlink>
          </w:p>
        </w:tc>
      </w:tr>
      <w:tr w14:paraId="56D502A5" w14:textId="77777777" w:rsidTr="00DB13FE">
        <w:tblPrEx>
          <w:tblW w:w="5000" w:type="pct"/>
          <w:tblLayout w:type="fixed"/>
          <w:tblLook w:val="0000"/>
        </w:tblPrEx>
        <w:tc>
          <w:tcPr>
            <w:tcW w:w="607" w:type="dxa"/>
          </w:tcPr>
          <w:p w:rsidR="00F85C99" w:rsidRPr="002F6A28" w:rsidP="002F6A28" w14:paraId="5244CF11" w14:textId="77777777">
            <w:pPr>
              <w:spacing w:before="120" w:after="120"/>
              <w:jc w:val="left"/>
              <w:rPr>
                <w:b/>
              </w:rPr>
            </w:pPr>
            <w:r w:rsidRPr="002F6A28">
              <w:rPr>
                <w:b/>
              </w:rPr>
              <w:t>6.</w:t>
            </w:r>
          </w:p>
        </w:tc>
        <w:tc>
          <w:tcPr>
            <w:tcW w:w="8373" w:type="dxa"/>
          </w:tcPr>
          <w:p w:rsidR="00F85C99" w:rsidRPr="002F6A28" w:rsidP="002F6A28" w14:paraId="34C88DED" w14:textId="77777777">
            <w:pPr>
              <w:spacing w:before="120" w:after="120"/>
              <w:rPr>
                <w:b/>
              </w:rPr>
            </w:pPr>
            <w:r w:rsidRPr="002F6A28">
              <w:rPr>
                <w:b/>
              </w:rPr>
              <w:t>Description of content:</w:t>
            </w:r>
            <w:r w:rsidRPr="00C379C8" w:rsidR="00FE448B">
              <w:t xml:space="preserve"> This proposal delivers on Phase II of Health Canada's commitments set out in the Departmental </w:t>
            </w:r>
            <w:hyperlink r:id="rId6" w:history="1">
              <w:r w:rsidRPr="00C379C8" w:rsidR="00FE448B">
                <w:rPr>
                  <w:color w:val="0000FF"/>
                  <w:u w:val="single"/>
                </w:rPr>
                <w:t>Forward Regulatory</w:t>
              </w:r>
            </w:hyperlink>
            <w:r w:rsidRPr="00C379C8" w:rsidR="00FE448B">
              <w:t xml:space="preserve"> and </w:t>
            </w:r>
            <w:hyperlink r:id="rId7" w:history="1">
              <w:r w:rsidRPr="00C379C8" w:rsidR="00FE448B">
                <w:rPr>
                  <w:color w:val="0000FF"/>
                  <w:u w:val="single"/>
                </w:rPr>
                <w:t>Stock Review</w:t>
              </w:r>
            </w:hyperlink>
            <w:r w:rsidRPr="00C379C8" w:rsidR="00FE448B">
              <w:t xml:space="preserve"> Plans to modernize the Medical Device Establishment Licensing (MDEL) framework, while enabling the oversight to better manage emerging health and safety risks. </w:t>
            </w:r>
          </w:p>
          <w:p w:rsidR="00FE448B" w:rsidRPr="00C379C8" w:rsidP="002F6A28" w14:paraId="0CF99345" w14:textId="77777777">
            <w:pPr>
              <w:spacing w:before="120" w:after="120"/>
            </w:pPr>
            <w:r w:rsidRPr="00C379C8">
              <w:t>The proposed amendments would:</w:t>
            </w:r>
          </w:p>
          <w:p w:rsidR="00FE448B" w:rsidRPr="00C379C8" w:rsidP="002F6A28" w14:paraId="5D936D32" w14:textId="77777777">
            <w:pPr>
              <w:numPr>
                <w:ilvl w:val="0"/>
                <w:numId w:val="16"/>
              </w:numPr>
              <w:spacing w:before="120" w:after="120"/>
            </w:pPr>
            <w:r w:rsidRPr="00C379C8">
              <w:t>remove the requirement for importers with an MDEL to import from foreign distributors with an MDEL.</w:t>
            </w:r>
          </w:p>
          <w:p w:rsidR="00FE448B" w:rsidRPr="00C379C8" w:rsidP="002F6A28" w14:paraId="7BD0FAAA" w14:textId="77777777">
            <w:pPr>
              <w:numPr>
                <w:ilvl w:val="0"/>
                <w:numId w:val="16"/>
              </w:numPr>
              <w:spacing w:before="120" w:after="120"/>
            </w:pPr>
            <w:r w:rsidRPr="00C379C8">
              <w:t>require all MDEL applicants to provide supplier information as part of their MDEL application and to update the supplier information once a year at annual licence review</w:t>
            </w:r>
          </w:p>
          <w:p w:rsidR="00FE448B" w:rsidRPr="00C379C8" w:rsidP="002F6A28" w14:paraId="1B2D545B" w14:textId="77777777">
            <w:pPr>
              <w:numPr>
                <w:ilvl w:val="0"/>
                <w:numId w:val="16"/>
              </w:numPr>
              <w:spacing w:before="120" w:after="120"/>
            </w:pPr>
            <w:r w:rsidRPr="00C379C8">
              <w:t>Make explicit the requirement for manufacturers, importers and distributors to establish, implement and maintain all documented procedures relevant to their safety management activities.</w:t>
            </w:r>
          </w:p>
          <w:p w:rsidR="00FE448B" w:rsidRPr="00C379C8" w:rsidP="002F6A28" w14:paraId="3509DFA1" w14:textId="77777777">
            <w:pPr>
              <w:spacing w:before="120" w:after="120"/>
            </w:pPr>
            <w:r w:rsidRPr="00C379C8">
              <w:t>Most of the medical devices sold in Canada are imported, with a growing number of suppliers providing medical devices to the Canadian market. This, in addition to experimentation with regulatory flexibilities during the COVID-19 pandemic, demonstrates a need to update the current framework to allow Health Canada to continue to provide efficient, effective, and agile oversight of medical devices to protect the health and safety of people in Canada.</w:t>
            </w:r>
          </w:p>
        </w:tc>
      </w:tr>
      <w:tr w14:paraId="521FBA4E" w14:textId="77777777" w:rsidTr="00DB13FE">
        <w:tblPrEx>
          <w:tblW w:w="5000" w:type="pct"/>
          <w:tblLayout w:type="fixed"/>
          <w:tblLook w:val="0000"/>
        </w:tblPrEx>
        <w:tc>
          <w:tcPr>
            <w:tcW w:w="607" w:type="dxa"/>
          </w:tcPr>
          <w:p w:rsidR="00F85C99" w:rsidRPr="002F6A28" w:rsidP="002F6A28" w14:paraId="44D36801" w14:textId="77777777">
            <w:pPr>
              <w:spacing w:before="120" w:after="120"/>
              <w:jc w:val="left"/>
              <w:rPr>
                <w:b/>
              </w:rPr>
            </w:pPr>
            <w:r w:rsidRPr="002F6A28">
              <w:rPr>
                <w:b/>
              </w:rPr>
              <w:t>7.</w:t>
            </w:r>
          </w:p>
        </w:tc>
        <w:tc>
          <w:tcPr>
            <w:tcW w:w="8373" w:type="dxa"/>
          </w:tcPr>
          <w:p w:rsidR="00F85C99" w:rsidRPr="002F6A28" w:rsidP="002F6A28" w14:paraId="7D49D610" w14:textId="77777777">
            <w:pPr>
              <w:spacing w:before="120" w:after="120"/>
              <w:rPr>
                <w:b/>
              </w:rPr>
            </w:pPr>
            <w:r w:rsidRPr="002F6A28">
              <w:rPr>
                <w:b/>
              </w:rPr>
              <w:t>Objective and rationale, including the nature of urgent problems where applicable:</w:t>
            </w:r>
            <w:r w:rsidRPr="00C379C8" w:rsidR="00EE3A11">
              <w:t xml:space="preserve"> The objectives of this proposal are to modernize the MDEL framework to better </w:t>
            </w:r>
            <w:r w:rsidRPr="00C379C8" w:rsidR="00EE3A11">
              <w:t>respond to a rapidly innovative industry, while maintaining the oversight to better manage emerging health and safety risks. This includes:</w:t>
            </w:r>
          </w:p>
          <w:p w:rsidR="00EE3A11" w:rsidRPr="00C379C8" w:rsidP="002F6A28" w14:paraId="14A60CA4" w14:textId="77777777">
            <w:pPr>
              <w:numPr>
                <w:ilvl w:val="0"/>
                <w:numId w:val="17"/>
              </w:numPr>
              <w:spacing w:before="120" w:after="120"/>
            </w:pPr>
            <w:r w:rsidRPr="00C379C8">
              <w:t>Reducing unnecessary burden to facilitate international alignment;</w:t>
            </w:r>
          </w:p>
          <w:p w:rsidR="00EE3A11" w:rsidRPr="00C379C8" w:rsidP="002F6A28" w14:paraId="413FA78D" w14:textId="77777777">
            <w:pPr>
              <w:numPr>
                <w:ilvl w:val="0"/>
                <w:numId w:val="17"/>
              </w:numPr>
              <w:spacing w:before="120" w:after="120"/>
            </w:pPr>
            <w:r w:rsidRPr="00C379C8">
              <w:t>Improving Health Canada's ability to identify and monitor non-compliant medical devices and establishments that may pose a risk of injury to health; and</w:t>
            </w:r>
          </w:p>
          <w:p w:rsidR="00EE3A11" w:rsidRPr="00C379C8" w:rsidP="002F6A28" w14:paraId="420B9A00" w14:textId="77777777">
            <w:pPr>
              <w:spacing w:before="120" w:after="120"/>
            </w:pPr>
            <w:r w:rsidRPr="00C379C8">
              <w:t>Providing certainty with respect to the requirements in the MDR.</w:t>
            </w:r>
          </w:p>
        </w:tc>
      </w:tr>
      <w:tr w14:paraId="342666F1" w14:textId="77777777" w:rsidTr="00DB13FE">
        <w:tblPrEx>
          <w:tblW w:w="5000" w:type="pct"/>
          <w:tblLayout w:type="fixed"/>
          <w:tblLook w:val="0000"/>
        </w:tblPrEx>
        <w:tc>
          <w:tcPr>
            <w:tcW w:w="607" w:type="dxa"/>
          </w:tcPr>
          <w:p w:rsidR="00F85C99" w:rsidRPr="002F6A28" w:rsidP="009E75ED" w14:paraId="263B270B" w14:textId="77777777">
            <w:pPr>
              <w:spacing w:before="120" w:after="120"/>
              <w:jc w:val="left"/>
              <w:rPr>
                <w:b/>
              </w:rPr>
            </w:pPr>
            <w:r w:rsidRPr="002F6A28">
              <w:rPr>
                <w:b/>
              </w:rPr>
              <w:t>8.</w:t>
            </w:r>
          </w:p>
        </w:tc>
        <w:tc>
          <w:tcPr>
            <w:tcW w:w="8373" w:type="dxa"/>
          </w:tcPr>
          <w:p w:rsidR="000C3B6C" w:rsidRPr="00EC00D2" w:rsidP="007F13E8" w14:paraId="46558944" w14:textId="77777777">
            <w:pPr>
              <w:spacing w:before="120" w:after="120"/>
              <w:rPr>
                <w:bCs/>
              </w:rPr>
            </w:pPr>
            <w:r w:rsidRPr="002F6A28">
              <w:rPr>
                <w:b/>
              </w:rPr>
              <w:t>Relevant documents:</w:t>
            </w:r>
            <w:r w:rsidRPr="002F6A28" w:rsidR="00EE3A11">
              <w:t xml:space="preserve"> </w:t>
            </w:r>
          </w:p>
          <w:p w:rsidR="00EE3A11" w:rsidRPr="002F6A28" w:rsidP="007F13E8" w14:paraId="5A7FDF5A" w14:textId="77777777">
            <w:pPr>
              <w:spacing w:before="120" w:after="120"/>
            </w:pPr>
            <w:r w:rsidRPr="002F6A28">
              <w:t>Canada Gazette, Part I, 8 November 2025, pages 2186-2215 (available in English and French)</w:t>
            </w:r>
          </w:p>
          <w:p w:rsidR="00EE3A11" w:rsidRPr="002F6A28" w:rsidP="007F13E8" w14:paraId="76A85DE1" w14:textId="77777777">
            <w:pPr>
              <w:spacing w:before="120" w:after="120"/>
            </w:pPr>
            <w:hyperlink r:id="rId8" w:history="1">
              <w:r w:rsidRPr="002F6A28">
                <w:rPr>
                  <w:color w:val="0000FF"/>
                  <w:u w:val="single"/>
                </w:rPr>
                <w:t>https://gazette.gc.ca/rp-pr/p1/2025/2025-11-08/pdf/g1-15945.pdf</w:t>
              </w:r>
            </w:hyperlink>
          </w:p>
        </w:tc>
      </w:tr>
      <w:tr w14:paraId="64409D69" w14:textId="77777777" w:rsidTr="00DB13FE">
        <w:tblPrEx>
          <w:tblW w:w="5000" w:type="pct"/>
          <w:tblLayout w:type="fixed"/>
          <w:tblLook w:val="0000"/>
        </w:tblPrEx>
        <w:tc>
          <w:tcPr>
            <w:tcW w:w="607" w:type="dxa"/>
          </w:tcPr>
          <w:p w:rsidR="00EE3A11" w:rsidRPr="002F6A28" w:rsidP="002F6A28" w14:paraId="4047FC19" w14:textId="77777777">
            <w:pPr>
              <w:spacing w:before="120" w:after="120"/>
              <w:jc w:val="left"/>
              <w:rPr>
                <w:b/>
              </w:rPr>
            </w:pPr>
            <w:r w:rsidRPr="002F6A28">
              <w:rPr>
                <w:b/>
              </w:rPr>
              <w:t>9.</w:t>
            </w:r>
          </w:p>
        </w:tc>
        <w:tc>
          <w:tcPr>
            <w:tcW w:w="8373" w:type="dxa"/>
          </w:tcPr>
          <w:p w:rsidR="00EE3A11" w:rsidRPr="002F6A28" w:rsidP="008953C4" w14:paraId="249F2F0A" w14:textId="77777777">
            <w:pPr>
              <w:spacing w:before="120" w:after="120"/>
            </w:pPr>
            <w:r w:rsidRPr="002F6A28">
              <w:rPr>
                <w:b/>
              </w:rPr>
              <w:t>Proposed date of adoption:</w:t>
            </w:r>
            <w:r w:rsidRPr="00C379C8">
              <w:t xml:space="preserve"> On the day these regulations are registered</w:t>
            </w:r>
          </w:p>
          <w:p w:rsidR="00EE3A11" w:rsidRPr="002F6A28" w:rsidP="008953C4" w14:paraId="09DC51F3" w14:textId="77777777">
            <w:pPr>
              <w:spacing w:after="120"/>
            </w:pPr>
            <w:r w:rsidRPr="002F6A28">
              <w:rPr>
                <w:b/>
              </w:rPr>
              <w:t>Proposed date of entry into force:</w:t>
            </w:r>
            <w:r w:rsidRPr="00C379C8">
              <w:t xml:space="preserve"> </w:t>
            </w:r>
            <w:r w:rsidRPr="00C379C8">
              <w:t>The proposed amendments to the MDR would come into force six months from the date of registration.</w:t>
            </w:r>
          </w:p>
        </w:tc>
      </w:tr>
      <w:tr w14:paraId="0E2EB380" w14:textId="77777777" w:rsidTr="00DB13FE">
        <w:tblPrEx>
          <w:tblW w:w="5000" w:type="pct"/>
          <w:tblLayout w:type="fixed"/>
          <w:tblLook w:val="0000"/>
        </w:tblPrEx>
        <w:tc>
          <w:tcPr>
            <w:tcW w:w="607" w:type="dxa"/>
            <w:tcBorders>
              <w:bottom w:val="double" w:sz="4" w:space="0" w:color="auto"/>
            </w:tcBorders>
          </w:tcPr>
          <w:p w:rsidR="00F85C99" w:rsidRPr="002F6A28" w:rsidP="002F6A28" w14:paraId="1DE39F9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06DFA2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623BBDC" w14:textId="77777777">
            <w:pPr>
              <w:spacing w:before="120" w:after="120"/>
              <w:rPr>
                <w:bCs/>
              </w:rPr>
            </w:pPr>
            <w:r w:rsidRPr="002F6A28">
              <w:rPr>
                <w:b/>
              </w:rPr>
              <w:t>Final date for comments:</w:t>
            </w:r>
            <w:r w:rsidRPr="00C379C8" w:rsidR="00EE3A11">
              <w:t xml:space="preserve"> 17 January 2026</w:t>
            </w:r>
          </w:p>
          <w:p w:rsidR="000C3B6C" w:rsidRPr="00E3324D" w:rsidP="000C3B6C" w14:paraId="33EAB825"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4EA7396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0514B8F" w14:textId="77777777">
            <w:r w:rsidRPr="00CE6C29">
              <w:t>Notification Authority and Enquiry Point</w:t>
            </w:r>
          </w:p>
          <w:p w:rsidR="00CE6C29" w:rsidRPr="00CE6C29" w:rsidP="000C3B6C" w14:paraId="49CC5017" w14:textId="77777777">
            <w:r w:rsidRPr="00CE6C29">
              <w:t>Global Affairs Canada</w:t>
            </w:r>
          </w:p>
          <w:p w:rsidR="00CE6C29" w:rsidRPr="00CE6C29" w:rsidP="000C3B6C" w14:paraId="3E296377" w14:textId="77777777">
            <w:r w:rsidRPr="00CE6C29">
              <w:t>Technical Barriers and Regulations Division</w:t>
            </w:r>
          </w:p>
          <w:p w:rsidR="00CE6C29" w:rsidRPr="00CE6C29" w:rsidP="000C3B6C" w14:paraId="54D99DAD" w14:textId="77777777">
            <w:r w:rsidRPr="00CE6C29">
              <w:t>111 Sussex Drive,</w:t>
            </w:r>
          </w:p>
          <w:p w:rsidR="00CE6C29" w:rsidRPr="00CE6C29" w:rsidP="000C3B6C" w14:paraId="3B82E0B2" w14:textId="77777777">
            <w:r w:rsidRPr="00CE6C29">
              <w:t>Ottawa, Ontario K1A 0G2</w:t>
            </w:r>
          </w:p>
          <w:p w:rsidR="00CE6C29" w:rsidRPr="00CE6C29" w:rsidP="000C3B6C" w14:paraId="26F2E741" w14:textId="77777777">
            <w:r w:rsidRPr="00CE6C29">
              <w:t>ON K1A 0G</w:t>
            </w:r>
          </w:p>
          <w:p w:rsidR="00CE6C29" w:rsidRPr="00CE6C29" w:rsidP="000C3B6C" w14:paraId="4F9E733E" w14:textId="77777777">
            <w:r w:rsidRPr="00CE6C29">
              <w:t>Tel: +(343) 203-4273</w:t>
            </w:r>
          </w:p>
          <w:p w:rsidR="00CE6C29" w:rsidRPr="00CE6C29" w:rsidP="000C3B6C" w14:paraId="0CB7E812" w14:textId="77777777">
            <w:r w:rsidRPr="00CE6C29">
              <w:t>Fax: +(613) 943-0346</w:t>
            </w:r>
          </w:p>
          <w:p w:rsidR="00CE6C29" w:rsidRPr="00CE6C29" w:rsidP="000C3B6C" w14:paraId="064EA627" w14:textId="77777777">
            <w:r w:rsidRPr="00CE6C29">
              <w:t xml:space="preserve">E-mail: </w:t>
            </w:r>
            <w:hyperlink r:id="rId9" w:history="1">
              <w:r w:rsidRPr="00CE6C29">
                <w:rPr>
                  <w:color w:val="0000FF"/>
                  <w:u w:val="single"/>
                </w:rPr>
                <w:t>enquirypoint@international.gc.ca</w:t>
              </w:r>
            </w:hyperlink>
          </w:p>
          <w:p w:rsidR="00CE6C29" w:rsidRPr="00CE6C29" w:rsidP="000C3B6C" w14:paraId="1248CEB5" w14:textId="77777777">
            <w:pPr>
              <w:spacing w:after="120"/>
            </w:pPr>
            <w:r w:rsidRPr="00CE6C29">
              <w:t xml:space="preserve">Site Web: </w:t>
            </w:r>
            <w:hyperlink r:id="rId10" w:tgtFrame="_blank" w:history="1">
              <w:r w:rsidRPr="00CE6C29">
                <w:rPr>
                  <w:color w:val="0000FF"/>
                  <w:u w:val="single"/>
                </w:rPr>
                <w:t>http://www.international.gc.ca</w:t>
              </w:r>
            </w:hyperlink>
          </w:p>
        </w:tc>
      </w:tr>
    </w:tbl>
    <w:p w:rsidR="00EE3A11" w:rsidRPr="002F6A28" w:rsidP="00887259" w14:paraId="30A8DC64"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7648F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7FB87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837BE0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51EC97" w14:textId="77777777">
    <w:pPr>
      <w:pStyle w:val="Header"/>
      <w:pBdr>
        <w:bottom w:val="single" w:sz="4" w:space="1" w:color="auto"/>
      </w:pBdr>
      <w:tabs>
        <w:tab w:val="clear" w:pos="4513"/>
        <w:tab w:val="clear" w:pos="9027"/>
      </w:tabs>
      <w:jc w:val="center"/>
    </w:pPr>
    <w:r w:rsidRPr="002F6A28">
      <w:t>tbtSymbol</w:t>
    </w:r>
  </w:p>
  <w:p w:rsidR="009239F7" w:rsidRPr="002F6A28" w:rsidP="009239F7" w14:paraId="1DEE5677" w14:textId="77777777">
    <w:pPr>
      <w:pStyle w:val="Header"/>
      <w:pBdr>
        <w:bottom w:val="single" w:sz="4" w:space="1" w:color="auto"/>
      </w:pBdr>
      <w:tabs>
        <w:tab w:val="clear" w:pos="4513"/>
        <w:tab w:val="clear" w:pos="9027"/>
      </w:tabs>
      <w:jc w:val="center"/>
    </w:pPr>
  </w:p>
  <w:p w:rsidR="009239F7" w:rsidRPr="002F6A28" w:rsidP="009239F7" w14:paraId="5B77E59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1AF2A2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C198AD" w14:textId="77777777">
    <w:pPr>
      <w:pStyle w:val="Header"/>
      <w:pBdr>
        <w:bottom w:val="single" w:sz="4" w:space="1" w:color="auto"/>
      </w:pBdr>
      <w:tabs>
        <w:tab w:val="clear" w:pos="4513"/>
        <w:tab w:val="clear" w:pos="9027"/>
      </w:tabs>
      <w:jc w:val="center"/>
    </w:pPr>
    <w:bookmarkStart w:id="0" w:name="spsSymbolHeader"/>
    <w:r w:rsidRPr="002F6A28">
      <w:t>G/TBT/N/CAN/758</w:t>
    </w:r>
    <w:bookmarkEnd w:id="0"/>
  </w:p>
  <w:p w:rsidR="009239F7" w:rsidRPr="002F6A28" w:rsidP="009239F7" w14:paraId="520AF77E" w14:textId="77777777">
    <w:pPr>
      <w:pStyle w:val="Header"/>
      <w:pBdr>
        <w:bottom w:val="single" w:sz="4" w:space="1" w:color="auto"/>
      </w:pBdr>
      <w:tabs>
        <w:tab w:val="clear" w:pos="4513"/>
        <w:tab w:val="clear" w:pos="9027"/>
      </w:tabs>
      <w:jc w:val="center"/>
    </w:pPr>
  </w:p>
  <w:p w:rsidR="009239F7" w:rsidRPr="002F6A28" w:rsidP="009239F7" w14:paraId="09C5840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966BF8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8BB35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97F94B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E795A57" w14:textId="77777777">
          <w:pPr>
            <w:jc w:val="right"/>
            <w:rPr>
              <w:b/>
              <w:color w:val="FF0000"/>
              <w:szCs w:val="16"/>
            </w:rPr>
          </w:pPr>
        </w:p>
      </w:tc>
    </w:tr>
    <w:bookmarkEnd w:id="1"/>
    <w:tr w14:paraId="3B1C0B8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A6BF4A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A94D77F" w14:textId="77777777">
          <w:pPr>
            <w:jc w:val="right"/>
            <w:rPr>
              <w:b/>
              <w:szCs w:val="16"/>
            </w:rPr>
          </w:pPr>
        </w:p>
      </w:tc>
    </w:tr>
    <w:tr w14:paraId="0385ADB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DF27B7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A77DDD3" w14:textId="77777777">
          <w:pPr>
            <w:jc w:val="right"/>
            <w:rPr>
              <w:b/>
              <w:szCs w:val="16"/>
            </w:rPr>
          </w:pPr>
          <w:bookmarkStart w:id="2" w:name="bmkSymbols"/>
          <w:r w:rsidRPr="002F6A28">
            <w:rPr>
              <w:b/>
              <w:szCs w:val="16"/>
            </w:rPr>
            <w:t>G/TBT/N/CAN/758</w:t>
          </w:r>
          <w:bookmarkEnd w:id="2"/>
        </w:p>
      </w:tc>
    </w:tr>
    <w:tr w14:paraId="631BBD8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A65F297" w14:textId="77777777"/>
      </w:tc>
      <w:tc>
        <w:tcPr>
          <w:tcW w:w="5448" w:type="dxa"/>
          <w:gridSpan w:val="2"/>
          <w:shd w:val="clear" w:color="auto" w:fill="FFFFFF"/>
          <w:tcMar>
            <w:left w:w="108" w:type="dxa"/>
            <w:right w:w="108" w:type="dxa"/>
          </w:tcMar>
          <w:vAlign w:val="center"/>
        </w:tcPr>
        <w:p w:rsidR="00ED54E0" w:rsidRPr="009239F7" w:rsidP="00B801E9" w14:paraId="74184BAA" w14:textId="77777777">
          <w:pPr>
            <w:jc w:val="right"/>
            <w:rPr>
              <w:szCs w:val="16"/>
            </w:rPr>
          </w:pPr>
          <w:bookmarkStart w:id="3" w:name="spsDateDistribution"/>
          <w:bookmarkStart w:id="4" w:name="bmkDate"/>
          <w:r w:rsidRPr="009239F7">
            <w:rPr>
              <w:szCs w:val="16"/>
            </w:rPr>
            <w:t>13 November 2025</w:t>
          </w:r>
          <w:bookmarkEnd w:id="3"/>
          <w:bookmarkEnd w:id="4"/>
        </w:p>
      </w:tc>
    </w:tr>
    <w:tr w14:paraId="322924C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A42DF27" w14:textId="77777777">
          <w:pPr>
            <w:jc w:val="left"/>
            <w:rPr>
              <w:b/>
            </w:rPr>
          </w:pPr>
          <w:bookmarkStart w:id="5" w:name="bmkSerial"/>
          <w:r>
            <w:rPr>
              <w:rFonts w:ascii="Verdana" w:eastAsia="Verdana" w:hAnsi="Verdana" w:cs="Verdana"/>
              <w:b w:val="0"/>
              <w:color w:val="FF0000"/>
              <w:sz w:val="18"/>
            </w:rPr>
            <w:t>(25-7507)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2779F5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38FC1C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F749B0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76CCA0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 French</w:t>
          </w:r>
          <w:bookmarkEnd w:id="9"/>
          <w:bookmarkEnd w:id="8"/>
        </w:p>
      </w:tc>
    </w:tr>
  </w:tbl>
  <w:p w:rsidR="00ED54E0" w:rsidRPr="002F6A28" w14:paraId="4D0957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71990664">
    <w:abstractNumId w:val="9"/>
  </w:num>
  <w:num w:numId="2" w16cid:durableId="1808621525">
    <w:abstractNumId w:val="7"/>
  </w:num>
  <w:num w:numId="3" w16cid:durableId="667681019">
    <w:abstractNumId w:val="6"/>
  </w:num>
  <w:num w:numId="4" w16cid:durableId="485903650">
    <w:abstractNumId w:val="5"/>
  </w:num>
  <w:num w:numId="5" w16cid:durableId="845828993">
    <w:abstractNumId w:val="4"/>
  </w:num>
  <w:num w:numId="6" w16cid:durableId="743065770">
    <w:abstractNumId w:val="12"/>
  </w:num>
  <w:num w:numId="7" w16cid:durableId="836310717">
    <w:abstractNumId w:val="11"/>
  </w:num>
  <w:num w:numId="8" w16cid:durableId="1456362943">
    <w:abstractNumId w:val="10"/>
  </w:num>
  <w:num w:numId="9" w16cid:durableId="18256574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2837794">
    <w:abstractNumId w:val="13"/>
  </w:num>
  <w:num w:numId="11" w16cid:durableId="1632400556">
    <w:abstractNumId w:val="8"/>
  </w:num>
  <w:num w:numId="12" w16cid:durableId="2054619542">
    <w:abstractNumId w:val="3"/>
  </w:num>
  <w:num w:numId="13" w16cid:durableId="1769693807">
    <w:abstractNumId w:val="2"/>
  </w:num>
  <w:num w:numId="14" w16cid:durableId="338849729">
    <w:abstractNumId w:val="1"/>
  </w:num>
  <w:num w:numId="15" w16cid:durableId="691225952">
    <w:abstractNumId w:val="0"/>
  </w:num>
  <w:num w:numId="16" w16cid:durableId="918099088">
    <w:abstractNumId w:val="14"/>
  </w:num>
  <w:num w:numId="17" w16cid:durableId="11287461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54C83"/>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039B9"/>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41E9"/>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AECEB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gazette.gc.ca/rp-pr/p1/2025/2025-11-08/html/reg1-fra.html" TargetMode="External" /><Relationship Id="rId6" Type="http://schemas.openxmlformats.org/officeDocument/2006/relationships/hyperlink" Target="https://www.canada.ca/en/health-canada/corporate/about-health-canada/legislation-guidelines/acts-regulations/forward-regulatory-plan/plan.html" TargetMode="External" /><Relationship Id="rId7" Type="http://schemas.openxmlformats.org/officeDocument/2006/relationships/hyperlink" Target="https://www.canada.ca/en/health-canada/corporate/about-health-canada/legislation-guidelines/acts-regulations/stock-review-plan.html" TargetMode="External" /><Relationship Id="rId8" Type="http://schemas.openxmlformats.org/officeDocument/2006/relationships/hyperlink" Target="https://gazette.gc.ca/rp-pr/p1/2025/2025-11-08/pdf/g1-15945.pdf"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2025-11-13T10:22:00Z</dcterms:created>
  <dcterms:modified xsi:type="dcterms:W3CDTF">2025-11-13T10:22:00Z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