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270A108D" w14:textId="77777777">
      <w:pPr>
        <w:pStyle w:val="Title"/>
      </w:pPr>
      <w:r w:rsidRPr="00EF68C9">
        <w:t>NOTIFICACIÓN</w:t>
      </w:r>
    </w:p>
    <w:p w:rsidR="002F663C" w:rsidRPr="00EF68C9" w:rsidP="00D31A79" w14:paraId="4829B9FA" w14:textId="77777777">
      <w:pPr>
        <w:pStyle w:val="Title3"/>
      </w:pPr>
      <w:r w:rsidRPr="00EF68C9">
        <w:t>Addendum</w:t>
      </w:r>
    </w:p>
    <w:p w:rsidR="002F663C" w:rsidP="00B22706" w14:paraId="03D093FA" w14:textId="77777777">
      <w:r w:rsidRPr="00EF68C9">
        <w:t>La siguiente comunicación, de fecha 13 de noviembre de 2025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del </w:t>
      </w:r>
      <w:r w:rsidRPr="00EF68C9">
        <w:rPr>
          <w:u w:val="single"/>
        </w:rPr>
        <w:t>Estado Plurinacional de Bolivia</w:t>
      </w:r>
      <w:r w:rsidRPr="00EF68C9">
        <w:t xml:space="preserve">, de </w:t>
      </w:r>
      <w:r w:rsidRPr="00EF68C9">
        <w:rPr>
          <w:u w:val="single"/>
        </w:rPr>
        <w:t>Colombia</w:t>
      </w:r>
      <w:r w:rsidRPr="00EF68C9">
        <w:t xml:space="preserve">, del </w:t>
      </w:r>
      <w:r w:rsidRPr="00EF68C9">
        <w:rPr>
          <w:u w:val="single"/>
        </w:rPr>
        <w:t>Ecuador</w:t>
      </w:r>
      <w:r w:rsidRPr="00EF68C9">
        <w:t xml:space="preserve">, del </w:t>
      </w:r>
      <w:r w:rsidRPr="00EF68C9">
        <w:rPr>
          <w:u w:val="single"/>
        </w:rPr>
        <w:t>Perú</w:t>
      </w:r>
      <w:r w:rsidRPr="00EF68C9">
        <w:t>.</w:t>
      </w:r>
    </w:p>
    <w:p w:rsidR="00B22706" w:rsidRPr="00EF68C9" w:rsidP="00B22706" w14:paraId="73C97D5D" w14:textId="77777777">
      <w:pPr>
        <w:rPr>
          <w:rFonts w:eastAsia="Calibri" w:cs="Times New Roman"/>
        </w:rPr>
      </w:pPr>
    </w:p>
    <w:p w:rsidR="002F663C" w:rsidRPr="00EF68C9" w:rsidP="00EF68C9" w14:paraId="13DB44AF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5DE6B6A1" w14:textId="77777777"/>
    <w:p w:rsidR="00B22706" w:rsidRPr="00EF68C9" w:rsidP="00EF68C9" w14:paraId="76F91C25" w14:textId="77777777"/>
    <w:p w:rsidR="002F663C" w:rsidRPr="00EF68C9" w:rsidP="00EF68C9" w14:paraId="4DB9B997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Resolución N° 2540 - Modificatoria de la Resolución N° 2310 "Reglamento Técnico Andino para el Etiquetado de Productos Cosméticos"</w:t>
      </w:r>
    </w:p>
    <w:p w:rsidR="002F663C" w:rsidRPr="00EF68C9" w:rsidP="00EF68C9" w14:paraId="6911C353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4F4C48FC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697F2F73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5566CE4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C98CF3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4D51C7B2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005DA26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404791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745CBF" w14:paraId="1AA67EDD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Adopción de la medida notificada - fecha: 5 de noviembre de 2025</w:t>
            </w:r>
          </w:p>
        </w:tc>
      </w:tr>
      <w:tr w14:paraId="049F159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32C132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745CBF" w14:paraId="6CE76874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  <w:r w:rsidRPr="00EF68C9">
              <w:t>5 de noviembre de 2025 publicada en la Gaceta Oficial de la Comunidad Andina Número 5706</w:t>
            </w:r>
          </w:p>
        </w:tc>
      </w:tr>
      <w:tr w14:paraId="17DFDAF0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60C079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745CBF" w14:paraId="768CEFFE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Entrada en vigor de la medida notificada - fecha: 17 de diciembre de 2025</w:t>
            </w:r>
          </w:p>
        </w:tc>
      </w:tr>
      <w:tr w14:paraId="631CAFC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01DEDFD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5E3CF1FF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</w:tc>
      </w:tr>
      <w:tr w14:paraId="301E6996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E8F9A7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4624A94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077F0CE5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490C424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19C5626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EF68C9" w:rsidRPr="00EF68C9" w:rsidP="00745CBF" w14:paraId="445CEB20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5127D6" w:rsidP="00745CBF" w14:paraId="3BB4FF12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https://www.comunidadandina.org/normativa-andina/resoluciones-sgcan/1/?q=</w:t>
              </w:r>
            </w:hyperlink>
          </w:p>
          <w:p w:rsidR="005127D6" w:rsidP="00745CBF" w14:paraId="29AA2437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https://www.mincetur.gob.pe/reglamentostecnicos/inventario_reglamentos_tecnicos/inventario.html?c=I_reglamentos_tecnicos_andinos</w:t>
              </w:r>
            </w:hyperlink>
          </w:p>
          <w:p w:rsidR="005127D6" w:rsidP="00745CBF" w14:paraId="7F3C212D" w14:textId="77777777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https://members.wto.org/crnattachments/2025/TBT/ECU/modification/25_07916_00_s.pdf</w:t>
              </w:r>
            </w:hyperlink>
          </w:p>
          <w:p w:rsidR="002F663C" w:rsidRPr="00EF68C9" w14:paraId="40D1BB53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4A41A1C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7657A9E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1C1E1CC0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61A25C6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52E839B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31FA1272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2CBFD614" w14:textId="77777777"/>
    <w:p w:rsidR="003918E9" w:rsidRPr="00F95856" w:rsidP="00B03883" w14:paraId="56847E01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>: La República del Ecuador, en nombre del Estado Plurinacional de Bolivia, República de Colombia y de Perú, como Países Miembros de la Comunidad Andina, informa sobre la expedición de la Resolución N.º 2540, mediante la cual se modifica la Resolución N.º 2310.</w:t>
      </w:r>
    </w:p>
    <w:p w:rsidR="00EF68C9" w:rsidRPr="00EF68C9" w:rsidP="00B03883" w14:paraId="33E2C3CE" w14:textId="77777777">
      <w:pPr>
        <w:spacing w:before="120" w:after="120"/>
      </w:pPr>
      <w:r w:rsidRPr="00EF68C9">
        <w:t>Esta modificatoria responde a las necesidades manifestadas por la industria y partes interesadas en pro de la facilitación del comercio, introduciendo mayor flexibilidad en el uso del sticker o etiqueta complementaria; permitiendo incluir o aclarar información, además de adecuar o cubrir datos de la etiqueta original, siempre que se respete la definición de producto cosmético y no se contravenga con lo establecido en el Artículo 3 de la Decisión 833.</w:t>
      </w:r>
    </w:p>
    <w:p w:rsidR="00EF68C9" w:rsidRPr="00EF68C9" w:rsidP="00B03883" w14:paraId="1D7E8EB4" w14:textId="77777777">
      <w:pPr>
        <w:spacing w:before="120" w:after="120"/>
      </w:pPr>
      <w:r w:rsidRPr="00EF68C9">
        <w:t>Asimismo, se actualizaron los requisitos de etiquetado, permitiendo el uso de la palabra "ingredientes" o términos equivalentes. Se aclaró que los cambios que no involucren aspectos sanitarios o normativos no requieren ser notificados a la autoridad competente; finalmente se flexibiliza el requisito de traducción al castellano de la denominación genérica de un producto cosmético cuando, en su idioma de origen, sea de uso común y de entendimiento generalizado para identificar una gama específica de productos</w:t>
      </w:r>
      <w:r w:rsidRPr="00EF68C9">
        <w:t xml:space="preserve"> con una función claramente conocida; entre otros ajustes menores que flexibilizan el texto original de la Resolución 2310.</w:t>
      </w:r>
    </w:p>
    <w:p w:rsidR="00EF68C9" w:rsidRPr="00EF68C9" w:rsidP="00B03883" w14:paraId="1B355334" w14:textId="77777777">
      <w:pPr>
        <w:spacing w:before="120" w:after="120"/>
      </w:pPr>
      <w:r w:rsidRPr="00EF68C9">
        <w:t>Estos cambios reflejan el compromiso de la Comunidad Andina con la armonización regulatoria, la transparencia y la facilitación del comercio, garantizando al mismo tiempo la seguridad y calidad de los productos cosméticos en la región.</w:t>
      </w:r>
    </w:p>
    <w:p w:rsidR="00D60927" w:rsidRPr="00B22706" w:rsidP="003918E9" w14:paraId="67C5B420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762FE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762FE1" w:rsidP="00762FE1" w14:paraId="31D5CD89" w14:textId="39D51AA1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762FE1" w:rsidP="00762FE1" w14:paraId="54B69D4D" w14:textId="1021DCA9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13EDE088" w14:textId="77777777">
    <w:pPr>
      <w:pStyle w:val="Footer"/>
    </w:pPr>
    <w:bookmarkStart w:id="11" w:name="_Hlk23403609"/>
    <w:bookmarkStart w:id="12" w:name="_Hlk23403610"/>
    <w:r w:rsidRPr="00EF68C9">
      <w:t xml:space="preserve"> </w:t>
    </w:r>
    <w:bookmarkEnd w:id="11"/>
    <w:bookmarkEnd w:id="1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046E9E63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0F5C919A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3295A13B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62FE1" w:rsidRPr="00762FE1" w:rsidP="00762FE1" w14:paraId="12CEAC2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  <w:r w:rsidRPr="00762FE1">
      <w:rPr>
        <w:lang w:val="en-GB"/>
      </w:rPr>
      <w:t>G/TBT/N/BOL/9/Add.3 • G/TBT/N/COL/231/Add.3 • G/TBT/N/ECU/338/Add.3 • G/TBT/N/PER/100/Add.3</w:t>
    </w:r>
  </w:p>
  <w:p w:rsidR="00762FE1" w:rsidRPr="00762FE1" w:rsidP="00762FE1" w14:paraId="62C188B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</w:p>
  <w:p w:rsidR="00762FE1" w:rsidRPr="00762FE1" w:rsidP="00762FE1" w14:paraId="551B7209" w14:textId="1DAF223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62FE1">
      <w:t xml:space="preserve">- </w:t>
    </w:r>
    <w:r w:rsidRPr="00762FE1">
      <w:fldChar w:fldCharType="begin"/>
    </w:r>
    <w:r w:rsidRPr="00762FE1">
      <w:instrText xml:space="preserve"> PAGE </w:instrText>
    </w:r>
    <w:r w:rsidRPr="00762FE1">
      <w:fldChar w:fldCharType="separate"/>
    </w:r>
    <w:r w:rsidRPr="00762FE1">
      <w:t>2</w:t>
    </w:r>
    <w:r w:rsidRPr="00762FE1">
      <w:fldChar w:fldCharType="end"/>
    </w:r>
    <w:r w:rsidRPr="00762FE1">
      <w:t xml:space="preserve"> -</w:t>
    </w:r>
  </w:p>
  <w:p w:rsidR="00EF68C9" w:rsidRPr="00762FE1" w:rsidP="00762FE1" w14:paraId="5A3D2E90" w14:textId="1A6FFBCC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62FE1" w:rsidRPr="00762FE1" w:rsidP="00762FE1" w14:paraId="4AEAA69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  <w:r w:rsidRPr="00762FE1">
      <w:rPr>
        <w:lang w:val="en-GB"/>
      </w:rPr>
      <w:t>G/TBT/N/BOL/9/Add.3 • G/TBT/N/COL/231/Add.3 • G/TBT/N/ECU/338/Add.3 • G/TBT/N/PER/100/Add.3</w:t>
    </w:r>
  </w:p>
  <w:p w:rsidR="00762FE1" w:rsidRPr="00762FE1" w:rsidP="00762FE1" w14:paraId="3BC7B3C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</w:p>
  <w:p w:rsidR="00762FE1" w:rsidRPr="00762FE1" w:rsidP="00762FE1" w14:paraId="2417B330" w14:textId="270667C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62FE1">
      <w:t xml:space="preserve">- </w:t>
    </w:r>
    <w:r w:rsidRPr="00762FE1">
      <w:fldChar w:fldCharType="begin"/>
    </w:r>
    <w:r w:rsidRPr="00762FE1">
      <w:instrText xml:space="preserve"> PAGE </w:instrText>
    </w:r>
    <w:r w:rsidRPr="00762FE1">
      <w:fldChar w:fldCharType="separate"/>
    </w:r>
    <w:r w:rsidRPr="00762FE1">
      <w:rPr>
        <w:noProof/>
      </w:rPr>
      <w:t>2</w:t>
    </w:r>
    <w:r w:rsidRPr="00762FE1">
      <w:fldChar w:fldCharType="end"/>
    </w:r>
    <w:r w:rsidRPr="00762FE1">
      <w:t xml:space="preserve"> -</w:t>
    </w:r>
  </w:p>
  <w:p w:rsidR="00EF68C9" w:rsidRPr="00762FE1" w:rsidP="00762FE1" w14:paraId="75965C53" w14:textId="1E043FFE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769EC6AF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0E2BC963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5" w:name="_Hlk23403607"/>
          <w:bookmarkStart w:id="6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40D997BB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6ECC4193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44391B0A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5DCF2506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7F01AD5D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2CFCA1E9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762FE1" w:rsidP="00D763A2" w14:paraId="2398463F" w14:textId="77777777">
          <w:pPr>
            <w:jc w:val="right"/>
            <w:rPr>
              <w:rFonts w:eastAsia="Calibri" w:cs="Times New Roman"/>
              <w:b/>
              <w:szCs w:val="16"/>
              <w:lang w:val="en-GB"/>
            </w:rPr>
          </w:pPr>
          <w:bookmarkStart w:id="7" w:name="bmkSymbols"/>
          <w:r>
            <w:rPr>
              <w:rFonts w:eastAsia="Calibri" w:cs="Times New Roman"/>
              <w:b/>
              <w:szCs w:val="16"/>
              <w:lang w:val="en-GB"/>
            </w:rPr>
            <w:t>G/TBT/N/BOL/9/Add.3, G/TBT/N/COL/231/Add.3</w:t>
          </w:r>
        </w:p>
        <w:p w:rsidR="00762FE1" w:rsidP="00D763A2" w14:paraId="54CBDF2C" w14:textId="77777777">
          <w:pPr>
            <w:jc w:val="right"/>
            <w:rPr>
              <w:rFonts w:eastAsia="Calibri" w:cs="Times New Roman"/>
              <w:b/>
              <w:szCs w:val="16"/>
              <w:lang w:val="en-GB"/>
            </w:rPr>
          </w:pPr>
          <w:r>
            <w:rPr>
              <w:rFonts w:eastAsia="Calibri" w:cs="Times New Roman"/>
              <w:b/>
              <w:szCs w:val="16"/>
              <w:lang w:val="en-GB"/>
            </w:rPr>
            <w:t>G/TBT/N/ECU/338/Add.3, G/TBT/N/PER/100/Add.3</w:t>
          </w:r>
        </w:p>
        <w:bookmarkEnd w:id="7"/>
        <w:p w:rsidR="00D763A2" w:rsidRPr="00762FE1" w:rsidP="00D763A2" w14:paraId="02793562" w14:textId="23CB997C">
          <w:pPr>
            <w:jc w:val="right"/>
            <w:rPr>
              <w:rFonts w:eastAsia="Calibri" w:cs="Times New Roman"/>
              <w:b/>
              <w:szCs w:val="16"/>
              <w:lang w:val="en-GB"/>
            </w:rPr>
          </w:pPr>
        </w:p>
      </w:tc>
    </w:tr>
    <w:tr w14:paraId="624D4160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7E64D4E6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7D488618" w14:textId="77777777">
          <w:pPr>
            <w:jc w:val="right"/>
            <w:rPr>
              <w:rFonts w:eastAsia="Verdana" w:cs="Verdana"/>
              <w:szCs w:val="18"/>
            </w:rPr>
          </w:pPr>
          <w:bookmarkStart w:id="8" w:name="bmkDate"/>
          <w:r w:rsidRPr="00EF68C9">
            <w:rPr>
              <w:rFonts w:eastAsia="Verdana" w:cs="Verdana"/>
              <w:szCs w:val="18"/>
            </w:rPr>
            <w:t>13 de noviembre de 2025</w:t>
          </w:r>
          <w:bookmarkEnd w:id="8"/>
        </w:p>
      </w:tc>
    </w:tr>
    <w:tr w14:paraId="1FD33919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48D1E70D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9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(25-7520)</w:t>
          </w:r>
          <w:bookmarkEnd w:id="9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3799BC22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2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2C016CC5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05423845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58756DC8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0" w:name="bmkOriginalLanguage"/>
          <w:r w:rsidRPr="00EF68C9">
            <w:t>español</w:t>
          </w:r>
          <w:bookmarkEnd w:id="10"/>
        </w:p>
      </w:tc>
    </w:tr>
    <w:bookmarkEnd w:id="5"/>
    <w:bookmarkEnd w:id="6"/>
  </w:tbl>
  <w:p w:rsidR="00ED54E0" w:rsidRPr="00EF68C9" w:rsidP="00EF68C9" w14:paraId="4DB6969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4640412">
    <w:abstractNumId w:val="9"/>
  </w:num>
  <w:num w:numId="2" w16cid:durableId="1424298013">
    <w:abstractNumId w:val="7"/>
  </w:num>
  <w:num w:numId="3" w16cid:durableId="1111320534">
    <w:abstractNumId w:val="6"/>
  </w:num>
  <w:num w:numId="4" w16cid:durableId="1652441396">
    <w:abstractNumId w:val="5"/>
  </w:num>
  <w:num w:numId="5" w16cid:durableId="1375425121">
    <w:abstractNumId w:val="4"/>
  </w:num>
  <w:num w:numId="6" w16cid:durableId="1445231594">
    <w:abstractNumId w:val="12"/>
  </w:num>
  <w:num w:numId="7" w16cid:durableId="1346322398">
    <w:abstractNumId w:val="11"/>
  </w:num>
  <w:num w:numId="8" w16cid:durableId="1007753893">
    <w:abstractNumId w:val="10"/>
  </w:num>
  <w:num w:numId="9" w16cid:durableId="8262816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17424483">
    <w:abstractNumId w:val="13"/>
  </w:num>
  <w:num w:numId="11" w16cid:durableId="800421951">
    <w:abstractNumId w:val="8"/>
  </w:num>
  <w:num w:numId="12" w16cid:durableId="119808810">
    <w:abstractNumId w:val="3"/>
  </w:num>
  <w:num w:numId="13" w16cid:durableId="1629169065">
    <w:abstractNumId w:val="2"/>
  </w:num>
  <w:num w:numId="14" w16cid:durableId="1754014564">
    <w:abstractNumId w:val="1"/>
  </w:num>
  <w:num w:numId="15" w16cid:durableId="1958486256">
    <w:abstractNumId w:val="0"/>
  </w:num>
  <w:num w:numId="16" w16cid:durableId="1021737150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SortMethod w:val="name"/>
  <w:defaultTabStop w:val="567"/>
  <w:hyphenationZone w:val="425"/>
  <w:evenAndOddHeaders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1357A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A1772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A6919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E69D5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2FE1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44CD7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456A855"/>
  <w15:docId w15:val="{745554D0-166D-4816-BF5D-6C470CA89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comunidadandina.org/normativa-andina/resoluciones-sgcan/1/?q=" TargetMode="External" /><Relationship Id="rId8" Type="http://schemas.openxmlformats.org/officeDocument/2006/relationships/hyperlink" Target="https://www.mincetur.gob.pe/reglamentostecnicos/inventario_reglamentos_tecnicos/inventario.html?c=I_reglamentos_tecnicos_andinos" TargetMode="External" /><Relationship Id="rId9" Type="http://schemas.openxmlformats.org/officeDocument/2006/relationships/hyperlink" Target="https://members.wto.org/crnattachments/2025/TBT/ECU/modification/25_07916_00_s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65C3347-BD38-4F75-9870-79F2AFE0635E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2</TotalTime>
  <Pages>2</Pages>
  <Words>531</Words>
  <Characters>3030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lastModifiedBy>Mermaz, Johann</cp:lastModifiedBy>
  <cp:revision>2</cp:revision>
  <cp:lastPrinted>2019-10-31T07:40:00Z</cp:lastPrinted>
  <dcterms:created xsi:type="dcterms:W3CDTF">2025-11-13T11:50:00Z</dcterms:created>
  <dcterms:modified xsi:type="dcterms:W3CDTF">2025-11-13T13:50:00Z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G/TBT/N/BOL/9/Add.3</vt:lpwstr>
  </property>
  <property fmtid="{D5CDD505-2E9C-101B-9397-08002B2CF9AE}" pid="3" name="Symbol2">
    <vt:lpwstr>G/TBT/N/COL/231/Add.3</vt:lpwstr>
  </property>
  <property fmtid="{D5CDD505-2E9C-101B-9397-08002B2CF9AE}" pid="4" name="Symbol3">
    <vt:lpwstr>G/TBT/N/ECU/338/Add.3</vt:lpwstr>
  </property>
  <property fmtid="{D5CDD505-2E9C-101B-9397-08002B2CF9AE}" pid="5" name="Symbol4">
    <vt:lpwstr>G/TBT/N/PER/100/Add.3</vt:lpwstr>
  </property>
  <property fmtid="{D5CDD505-2E9C-101B-9397-08002B2CF9AE}" pid="6" name="TitusGUID">
    <vt:lpwstr>105b8bce-2a06-4fd4-a19e-464a2f4ecb32</vt:lpwstr>
  </property>
  <property fmtid="{D5CDD505-2E9C-101B-9397-08002B2CF9AE}" pid="7" name="WTOCLASSIFICATION">
    <vt:lpwstr>WTO OFFICIAL</vt:lpwstr>
  </property>
</Properties>
</file>