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AB20B7A" w14:textId="77777777">
      <w:pPr>
        <w:pStyle w:val="Title"/>
      </w:pPr>
      <w:r w:rsidRPr="002F663C">
        <w:t>NOTIFICATION</w:t>
      </w:r>
    </w:p>
    <w:p w:rsidR="002F663C" w:rsidRPr="002F663C" w:rsidP="00DD3DD7" w14:paraId="0B6EFE19" w14:textId="77777777">
      <w:pPr>
        <w:pStyle w:val="Title3"/>
      </w:pPr>
      <w:r w:rsidRPr="002F663C">
        <w:t>Addendum</w:t>
      </w:r>
    </w:p>
    <w:p w:rsidR="002F663C" w:rsidP="001E2E4A" w14:paraId="3C16B01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rsidR="001E2E4A" w:rsidRPr="002F663C" w:rsidP="001E2E4A" w14:paraId="4D6E463C" w14:textId="77777777">
      <w:pPr>
        <w:rPr>
          <w:rFonts w:eastAsia="Calibri" w:cs="Times New Roman"/>
        </w:rPr>
      </w:pPr>
    </w:p>
    <w:p w:rsidR="002F663C" w:rsidRPr="002F663C" w:rsidP="002F663C" w14:paraId="1A894A82" w14:textId="77777777">
      <w:pPr>
        <w:jc w:val="center"/>
        <w:rPr>
          <w:rFonts w:eastAsia="Calibri" w:cs="Times New Roman"/>
          <w:b/>
        </w:rPr>
      </w:pPr>
      <w:r w:rsidRPr="002F663C">
        <w:rPr>
          <w:rFonts w:eastAsia="Calibri" w:cs="Times New Roman"/>
          <w:b/>
        </w:rPr>
        <w:t>_______________</w:t>
      </w:r>
    </w:p>
    <w:p w:rsidR="002F663C" w:rsidP="002F663C" w14:paraId="1FFC277C" w14:textId="77777777">
      <w:pPr>
        <w:rPr>
          <w:rFonts w:eastAsia="Calibri" w:cs="Times New Roman"/>
        </w:rPr>
      </w:pPr>
    </w:p>
    <w:p w:rsidR="00C14444" w:rsidRPr="002F663C" w:rsidP="002F663C" w14:paraId="278373C0" w14:textId="77777777">
      <w:pPr>
        <w:rPr>
          <w:rFonts w:eastAsia="Calibri" w:cs="Times New Roman"/>
        </w:rPr>
      </w:pPr>
    </w:p>
    <w:p w:rsidR="002F663C" w:rsidRPr="002F663C" w:rsidP="002F663C" w14:paraId="78FC4CF6" w14:textId="2B894C7D">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Proposed changes to regulatory requirements for household refrigerators and freezers can be found in the Equipment Energy Efficiency (E3) Decision Regulation Impact Statement - Household Refrigerators and Freezers (November 2017, 84 pages) available for download at: </w:t>
      </w:r>
      <w:r w:rsidRPr="00C21C22">
        <w:rPr>
          <w:rFonts w:eastAsia="Calibri" w:cs="Times New Roman"/>
          <w:bCs/>
          <w:szCs w:val="18"/>
        </w:rPr>
        <w:t>http://www.energyrating.gov.au/news/decision-regulation-impact-statement-household-refrigerators-and-freezers</w:t>
      </w:r>
      <w:r w:rsidRPr="00022513">
        <w:rPr>
          <w:rFonts w:eastAsia="Calibri" w:cs="Times New Roman"/>
          <w:bCs/>
          <w:szCs w:val="18"/>
        </w:rPr>
        <w:t>.</w:t>
      </w:r>
    </w:p>
    <w:p w:rsidR="002F663C" w:rsidRPr="002F663C" w:rsidP="002F663C" w14:paraId="02216CC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DC30F3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7561DD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0FF049B" w14:textId="77777777" w:rsidTr="00E9471B">
        <w:tblPrEx>
          <w:tblW w:w="9049" w:type="dxa"/>
          <w:tblLayout w:type="fixed"/>
          <w:tblLook w:val="04A0"/>
        </w:tblPrEx>
        <w:tc>
          <w:tcPr>
            <w:tcW w:w="851" w:type="dxa"/>
          </w:tcPr>
          <w:p w:rsidR="002F663C" w:rsidRPr="00711F9C" w:rsidP="00C14444" w14:paraId="5F2B2FC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6D4E91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2023190" w14:textId="77777777" w:rsidTr="00E9471B">
        <w:tblPrEx>
          <w:tblW w:w="9049" w:type="dxa"/>
          <w:tblLayout w:type="fixed"/>
          <w:tblLook w:val="04A0"/>
        </w:tblPrEx>
        <w:tc>
          <w:tcPr>
            <w:tcW w:w="851" w:type="dxa"/>
          </w:tcPr>
          <w:p w:rsidR="002F663C" w:rsidRPr="00711F9C" w:rsidP="00C14444" w14:paraId="52605B5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9CF8D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13 October 2025</w:t>
            </w:r>
          </w:p>
        </w:tc>
      </w:tr>
      <w:tr w14:paraId="0E45A42A" w14:textId="77777777" w:rsidTr="00E9471B">
        <w:tblPrEx>
          <w:tblW w:w="9049" w:type="dxa"/>
          <w:tblLayout w:type="fixed"/>
          <w:tblLook w:val="04A0"/>
        </w:tblPrEx>
        <w:tc>
          <w:tcPr>
            <w:tcW w:w="851" w:type="dxa"/>
          </w:tcPr>
          <w:p w:rsidR="002F663C" w:rsidRPr="00711F9C" w:rsidP="00C14444" w14:paraId="2934074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C08F25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October 2025</w:t>
            </w:r>
          </w:p>
        </w:tc>
      </w:tr>
      <w:tr w14:paraId="39C0AF1A" w14:textId="77777777" w:rsidTr="00E9471B">
        <w:tblPrEx>
          <w:tblW w:w="9049" w:type="dxa"/>
          <w:tblLayout w:type="fixed"/>
          <w:tblLook w:val="04A0"/>
        </w:tblPrEx>
        <w:tc>
          <w:tcPr>
            <w:tcW w:w="851" w:type="dxa"/>
          </w:tcPr>
          <w:p w:rsidR="002F663C" w:rsidRPr="00711F9C" w:rsidP="00C14444" w14:paraId="20B7875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BD01BA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May 2026</w:t>
            </w:r>
          </w:p>
        </w:tc>
      </w:tr>
      <w:tr w14:paraId="7C530520" w14:textId="77777777" w:rsidTr="00E9471B">
        <w:tblPrEx>
          <w:tblW w:w="9049" w:type="dxa"/>
          <w:tblLayout w:type="fixed"/>
          <w:tblLook w:val="04A0"/>
        </w:tblPrEx>
        <w:tc>
          <w:tcPr>
            <w:tcW w:w="851" w:type="dxa"/>
          </w:tcPr>
          <w:p w:rsidR="002F663C" w:rsidRPr="00711F9C" w:rsidP="00C14444" w14:paraId="300A5A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83CDE1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2212345" w14:textId="25FA0F2E">
            <w:pPr>
              <w:spacing w:before="120" w:after="120"/>
              <w:rPr>
                <w:rFonts w:eastAsia="Calibri" w:cs="Times New Roman"/>
              </w:rPr>
            </w:pPr>
            <w:hyperlink r:id="rId6" w:tgtFrame="_blank" w:history="1">
              <w:r w:rsidRPr="00C21C22">
                <w:rPr>
                  <w:rStyle w:val="Hyperlink"/>
                  <w:rFonts w:eastAsia="Calibri" w:cs="Times New Roman"/>
                </w:rPr>
                <w:t>https://legisla</w:t>
              </w:r>
              <w:r w:rsidRPr="00C21C22">
                <w:rPr>
                  <w:rStyle w:val="Hyperlink"/>
                  <w:rFonts w:eastAsia="Calibri" w:cs="Times New Roman"/>
                </w:rPr>
                <w:t>t</w:t>
              </w:r>
              <w:r w:rsidRPr="00C21C22">
                <w:rPr>
                  <w:rStyle w:val="Hyperlink"/>
                  <w:rFonts w:eastAsia="Calibri" w:cs="Times New Roman"/>
                </w:rPr>
                <w:t>ion.govt.nz/regulation/public/2025/0227/latest/LMS645427.html?search=ts_act%40bill%40regulation%40deemedreg_Energy+Efficiency+</w:t>
              </w:r>
              <w:r w:rsidRPr="00C21C22">
                <w:rPr>
                  <w:rStyle w:val="Hyperlink"/>
                  <w:rFonts w:eastAsia="Calibri" w:cs="Times New Roman"/>
                </w:rPr>
                <w:t>(Energy+Using+Products)+Amendment+Regulations+2025_resel_25_a&amp;p=1</w:t>
              </w:r>
            </w:hyperlink>
          </w:p>
        </w:tc>
      </w:tr>
      <w:tr w14:paraId="36ECCF1B" w14:textId="77777777" w:rsidTr="00E9471B">
        <w:tblPrEx>
          <w:tblW w:w="9049" w:type="dxa"/>
          <w:tblLayout w:type="fixed"/>
          <w:tblLook w:val="04A0"/>
        </w:tblPrEx>
        <w:tc>
          <w:tcPr>
            <w:tcW w:w="851" w:type="dxa"/>
          </w:tcPr>
          <w:p w:rsidR="002F663C" w:rsidRPr="00711F9C" w:rsidP="00C14444" w14:paraId="17F88E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5831B5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1BC7BF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B9DDBFE" w14:textId="77777777" w:rsidTr="00E9471B">
        <w:tblPrEx>
          <w:tblW w:w="9049" w:type="dxa"/>
          <w:tblLayout w:type="fixed"/>
          <w:tblLook w:val="04A0"/>
        </w:tblPrEx>
        <w:tc>
          <w:tcPr>
            <w:tcW w:w="851" w:type="dxa"/>
          </w:tcPr>
          <w:p w:rsidR="002F663C" w:rsidRPr="00711F9C" w:rsidP="00C14444" w14:paraId="35D21BD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8841B6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F1CB6C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6BDB33F" w14:textId="77777777" w:rsidTr="00E9471B">
        <w:tblPrEx>
          <w:tblW w:w="9049" w:type="dxa"/>
          <w:tblLayout w:type="fixed"/>
          <w:tblLook w:val="04A0"/>
        </w:tblPrEx>
        <w:tc>
          <w:tcPr>
            <w:tcW w:w="851" w:type="dxa"/>
          </w:tcPr>
          <w:p w:rsidR="002F663C" w:rsidRPr="00711F9C" w:rsidP="00C14444" w14:paraId="220D93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DDA320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9ECB179" w14:textId="77777777" w:rsidTr="00E9471B">
        <w:tblPrEx>
          <w:tblW w:w="9049" w:type="dxa"/>
          <w:tblLayout w:type="fixed"/>
          <w:tblLook w:val="04A0"/>
        </w:tblPrEx>
        <w:tc>
          <w:tcPr>
            <w:tcW w:w="851" w:type="dxa"/>
            <w:tcBorders>
              <w:bottom w:val="double" w:sz="4" w:space="0" w:color="auto"/>
            </w:tcBorders>
          </w:tcPr>
          <w:p w:rsidR="002F663C" w:rsidRPr="00711F9C" w:rsidP="00C14444" w14:paraId="2692520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6619DB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861650C" w14:textId="77777777">
      <w:pPr>
        <w:jc w:val="left"/>
        <w:rPr>
          <w:rFonts w:eastAsia="Calibri" w:cs="Times New Roman"/>
          <w:highlight w:val="yellow"/>
        </w:rPr>
      </w:pPr>
    </w:p>
    <w:p w:rsidR="003971FF" w:rsidRPr="007F6EA2" w:rsidP="00B16ACF" w14:paraId="1B6E3B0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New Zealand has amended the Energy Efficiency (Energy Using Products) Regulations 2002 to introduce or update Minimum Energy Performance Standards (MEPS) and Mandatory Energy Performance Labelling (MEPL) requirements across air conditioners/heat pumps &gt; 65kW, clothes washing machines, dishwashers, rotary clothes dryers, household refrigerators and freezers, three-phase cage induction motors and external power supplies. </w:t>
      </w:r>
    </w:p>
    <w:p w:rsidR="0058052E" w:rsidRPr="002F663C" w:rsidP="00B16ACF" w14:paraId="6EDB41D3" w14:textId="77777777">
      <w:pPr>
        <w:spacing w:before="120" w:after="120"/>
        <w:rPr>
          <w:rFonts w:eastAsia="Calibri" w:cs="Times New Roman"/>
          <w:szCs w:val="18"/>
        </w:rPr>
      </w:pPr>
      <w:r w:rsidRPr="002F663C">
        <w:rPr>
          <w:rFonts w:eastAsia="Calibri" w:cs="Times New Roman"/>
          <w:szCs w:val="18"/>
        </w:rPr>
        <w:t>These changes give effect to policy decisions developed under the Trans-Tasman Equipment Energy Efficiency (E3) Programme, support the Trans-Tasman Mutual Recognition Agreement (TTMRA), and in line with international best practice.</w:t>
      </w:r>
    </w:p>
    <w:p w:rsidR="006C5A96" w:rsidP="006C5A96" w14:paraId="6C792406" w14:textId="77777777">
      <w:pPr>
        <w:jc w:val="center"/>
        <w:rPr>
          <w:b/>
        </w:rPr>
      </w:pPr>
      <w:r w:rsidRPr="003971FF">
        <w:rPr>
          <w:b/>
        </w:rPr>
        <w:t>__________</w:t>
      </w:r>
    </w:p>
    <w:p w:rsidR="004D4D19" w:rsidP="007F38C2" w14:paraId="7E67FB6D" w14:textId="77777777">
      <w:pPr>
        <w:jc w:val="center"/>
        <w:rPr>
          <w:b/>
        </w:rPr>
      </w:pPr>
    </w:p>
    <w:p w:rsidR="00A1565D" w:rsidP="003971FF" w14:paraId="76259189"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CE0513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D62A86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D0D5C31" w14:textId="77777777">
      <w:r>
        <w:separator/>
      </w:r>
    </w:p>
  </w:footnote>
  <w:footnote w:type="continuationSeparator" w:id="1">
    <w:p w:rsidR="004D3A6A" w:rsidP="00ED54E0" w14:paraId="3DE5F3E2" w14:textId="77777777">
      <w:r>
        <w:continuationSeparator/>
      </w:r>
    </w:p>
  </w:footnote>
  <w:footnote w:id="2">
    <w:p w:rsidR="007F6EA2" w14:paraId="54CFEDE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822071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C777B49" w14:textId="77777777">
    <w:pPr>
      <w:pStyle w:val="Header"/>
      <w:pBdr>
        <w:bottom w:val="single" w:sz="4" w:space="1" w:color="auto"/>
      </w:pBdr>
      <w:tabs>
        <w:tab w:val="clear" w:pos="4513"/>
        <w:tab w:val="clear" w:pos="9027"/>
      </w:tabs>
      <w:jc w:val="center"/>
    </w:pPr>
  </w:p>
  <w:p w:rsidR="00DD3DD7" w:rsidRPr="00DD3DD7" w:rsidP="00DD3DD7" w14:paraId="3EC18F9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2AF49B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21869E" w14:textId="77777777">
    <w:pPr>
      <w:pStyle w:val="Header"/>
      <w:pBdr>
        <w:bottom w:val="single" w:sz="4" w:space="1" w:color="auto"/>
      </w:pBdr>
      <w:tabs>
        <w:tab w:val="clear" w:pos="4513"/>
        <w:tab w:val="clear" w:pos="9027"/>
      </w:tabs>
      <w:jc w:val="center"/>
    </w:pPr>
    <w:bookmarkStart w:id="3" w:name="spsSymbolHeader"/>
    <w:r w:rsidRPr="00DD3DD7">
      <w:t>G/TBT/N/NZL/80/Add.1</w:t>
    </w:r>
    <w:bookmarkEnd w:id="3"/>
  </w:p>
  <w:p w:rsidR="00DD3DD7" w:rsidRPr="00DD3DD7" w:rsidP="00DD3DD7" w14:paraId="5E364366" w14:textId="77777777">
    <w:pPr>
      <w:pStyle w:val="Header"/>
      <w:pBdr>
        <w:bottom w:val="single" w:sz="4" w:space="1" w:color="auto"/>
      </w:pBdr>
      <w:tabs>
        <w:tab w:val="clear" w:pos="4513"/>
        <w:tab w:val="clear" w:pos="9027"/>
      </w:tabs>
      <w:jc w:val="center"/>
    </w:pPr>
  </w:p>
  <w:p w:rsidR="00DD3DD7" w:rsidRPr="00DD3DD7" w:rsidP="00DD3DD7" w14:paraId="62C47E6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731901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88BE0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CD85F9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3D78151" w14:textId="77777777">
          <w:pPr>
            <w:jc w:val="right"/>
            <w:rPr>
              <w:b/>
              <w:color w:val="FF0000"/>
              <w:szCs w:val="16"/>
            </w:rPr>
          </w:pPr>
          <w:r>
            <w:rPr>
              <w:b/>
              <w:color w:val="FF0000"/>
              <w:szCs w:val="16"/>
            </w:rPr>
            <w:t xml:space="preserve"> </w:t>
          </w:r>
        </w:p>
      </w:tc>
    </w:tr>
    <w:tr w14:paraId="0F08827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1EE852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6762F7C" w14:textId="77777777">
          <w:pPr>
            <w:jc w:val="right"/>
            <w:rPr>
              <w:b/>
              <w:szCs w:val="16"/>
            </w:rPr>
          </w:pPr>
        </w:p>
      </w:tc>
    </w:tr>
    <w:tr w14:paraId="7D6F68F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482B21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4F76E3B" w14:textId="77777777">
          <w:pPr>
            <w:jc w:val="right"/>
            <w:rPr>
              <w:rFonts w:eastAsia="Calibri" w:cs="Times New Roman"/>
              <w:b/>
              <w:szCs w:val="16"/>
            </w:rPr>
          </w:pPr>
          <w:bookmarkStart w:id="4" w:name="bmkSymbols"/>
          <w:r w:rsidRPr="002F663C">
            <w:rPr>
              <w:rFonts w:eastAsia="Calibri" w:cs="Times New Roman"/>
              <w:b/>
              <w:szCs w:val="16"/>
            </w:rPr>
            <w:t>G/TBT/N/NZL/80/Add.1</w:t>
          </w:r>
          <w:bookmarkEnd w:id="4"/>
        </w:p>
        <w:p w:rsidR="00C14444" w:rsidRPr="00C14444" w:rsidP="00C14444" w14:paraId="134C9EA9" w14:textId="77777777">
          <w:pPr>
            <w:jc w:val="center"/>
            <w:rPr>
              <w:szCs w:val="16"/>
            </w:rPr>
          </w:pPr>
        </w:p>
      </w:tc>
    </w:tr>
    <w:tr w14:paraId="5ABB092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61AFF69" w14:textId="77777777"/>
      </w:tc>
      <w:tc>
        <w:tcPr>
          <w:tcW w:w="5448" w:type="dxa"/>
          <w:gridSpan w:val="2"/>
          <w:shd w:val="clear" w:color="auto" w:fill="FFFFFF"/>
          <w:tcMar>
            <w:left w:w="108" w:type="dxa"/>
            <w:right w:w="108" w:type="dxa"/>
          </w:tcMar>
          <w:vAlign w:val="center"/>
        </w:tcPr>
        <w:p w:rsidR="00ED54E0" w:rsidRPr="00182B84" w:rsidP="00425DC5" w14:paraId="44C528CD" w14:textId="77777777">
          <w:pPr>
            <w:jc w:val="right"/>
            <w:rPr>
              <w:szCs w:val="16"/>
            </w:rPr>
          </w:pPr>
          <w:bookmarkStart w:id="5" w:name="bmkDate"/>
          <w:r w:rsidRPr="00182B84">
            <w:rPr>
              <w:szCs w:val="16"/>
            </w:rPr>
            <w:t>10 November 2025</w:t>
          </w:r>
          <w:bookmarkEnd w:id="5"/>
        </w:p>
      </w:tc>
    </w:tr>
    <w:tr w14:paraId="450F80B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45AFE59" w14:textId="77777777">
          <w:pPr>
            <w:jc w:val="left"/>
            <w:rPr>
              <w:b/>
            </w:rPr>
          </w:pPr>
          <w:bookmarkStart w:id="6" w:name="bmkSerial"/>
          <w:r>
            <w:rPr>
              <w:rFonts w:ascii="Verdana" w:eastAsia="Verdana" w:hAnsi="Verdana" w:cs="Verdana"/>
              <w:b w:val="0"/>
              <w:color w:val="FF0000"/>
              <w:sz w:val="18"/>
            </w:rPr>
            <w:t>(25-7356)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1DC8CB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F79B6C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ECA528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2CC377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B6536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922693">
    <w:abstractNumId w:val="9"/>
  </w:num>
  <w:num w:numId="2" w16cid:durableId="666786626">
    <w:abstractNumId w:val="7"/>
  </w:num>
  <w:num w:numId="3" w16cid:durableId="1235702551">
    <w:abstractNumId w:val="6"/>
  </w:num>
  <w:num w:numId="4" w16cid:durableId="1326055723">
    <w:abstractNumId w:val="5"/>
  </w:num>
  <w:num w:numId="5" w16cid:durableId="1224608720">
    <w:abstractNumId w:val="4"/>
  </w:num>
  <w:num w:numId="6" w16cid:durableId="1020157195">
    <w:abstractNumId w:val="12"/>
  </w:num>
  <w:num w:numId="7" w16cid:durableId="865676688">
    <w:abstractNumId w:val="11"/>
  </w:num>
  <w:num w:numId="8" w16cid:durableId="475686070">
    <w:abstractNumId w:val="10"/>
  </w:num>
  <w:num w:numId="9" w16cid:durableId="1872189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989248">
    <w:abstractNumId w:val="13"/>
  </w:num>
  <w:num w:numId="11" w16cid:durableId="1941260771">
    <w:abstractNumId w:val="8"/>
  </w:num>
  <w:num w:numId="12" w16cid:durableId="711462667">
    <w:abstractNumId w:val="3"/>
  </w:num>
  <w:num w:numId="13" w16cid:durableId="1577856011">
    <w:abstractNumId w:val="2"/>
  </w:num>
  <w:num w:numId="14" w16cid:durableId="39596978">
    <w:abstractNumId w:val="1"/>
  </w:num>
  <w:num w:numId="15" w16cid:durableId="188228628">
    <w:abstractNumId w:val="0"/>
  </w:num>
  <w:num w:numId="16" w16cid:durableId="20270998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23E63"/>
    <w:rsid w:val="005336B8"/>
    <w:rsid w:val="00544326"/>
    <w:rsid w:val="00547B5F"/>
    <w:rsid w:val="005733F2"/>
    <w:rsid w:val="00573D49"/>
    <w:rsid w:val="0058052E"/>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30DB"/>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1C22"/>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C30504A"/>
  <w15:docId w15:val="{7652AA96-C232-4B07-90E3-8B27838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C21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legislation.govt.nz/regulation/public/2025/0227/latest/LMS645427.html?search=ts_act%40bill%40regulation%40deemedreg_Energy+Efficiency+(Energy+Using+Products)+Amendment+Regulations+2025_resel_25_a&amp;p=1"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2</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3</cp:revision>
  <cp:lastPrinted>2019-10-23T07:32:00Z</cp:lastPrinted>
  <dcterms:created xsi:type="dcterms:W3CDTF">2025-11-10T10:54:00Z</dcterms:created>
  <dcterms:modified xsi:type="dcterms:W3CDTF">2025-11-10T10:56:00Z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